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0C" w:rsidRDefault="0029160C" w:rsidP="0029160C">
      <w:pPr>
        <w:pStyle w:val="Heading6"/>
        <w:spacing w:line="266" w:lineRule="auto"/>
        <w:jc w:val="center"/>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29160C" w:rsidRDefault="0029160C" w:rsidP="0029160C">
      <w:pPr>
        <w:pStyle w:val="Heading6"/>
        <w:spacing w:line="266" w:lineRule="auto"/>
        <w:jc w:val="center"/>
        <w:rPr>
          <w:noProof/>
          <w:sz w:val="2"/>
          <w:szCs w:val="4"/>
        </w:rPr>
      </w:pPr>
      <w:r>
        <w:rPr>
          <w:noProof/>
          <w:lang w:bidi="fa-IR"/>
        </w:rPr>
        <w:lastRenderedPageBreak/>
        <w:drawing>
          <wp:anchor distT="0" distB="0" distL="114300" distR="114300" simplePos="0" relativeHeight="251657216" behindDoc="1" locked="0" layoutInCell="1" allowOverlap="1">
            <wp:simplePos x="0" y="0"/>
            <wp:positionH relativeFrom="column">
              <wp:posOffset>2477579</wp:posOffset>
            </wp:positionH>
            <wp:positionV relativeFrom="paragraph">
              <wp:posOffset>-462241</wp:posOffset>
            </wp:positionV>
            <wp:extent cx="829250" cy="1199071"/>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29250" cy="1199071"/>
                    </a:xfrm>
                    <a:prstGeom prst="rect">
                      <a:avLst/>
                    </a:prstGeom>
                    <a:noFill/>
                  </pic:spPr>
                </pic:pic>
              </a:graphicData>
            </a:graphic>
          </wp:anchor>
        </w:drawing>
      </w:r>
    </w:p>
    <w:p w:rsidR="0029160C" w:rsidRDefault="0029160C" w:rsidP="0029160C">
      <w:pPr>
        <w:pStyle w:val="Heading6"/>
        <w:spacing w:line="240" w:lineRule="auto"/>
        <w:jc w:val="center"/>
        <w:rPr>
          <w:sz w:val="40"/>
          <w:szCs w:val="40"/>
          <w:rtl/>
          <w:lang w:bidi="fa-IR"/>
        </w:rPr>
      </w:pPr>
    </w:p>
    <w:p w:rsidR="0029160C" w:rsidRPr="00CB17F2" w:rsidRDefault="0029160C" w:rsidP="0029160C">
      <w:pPr>
        <w:pStyle w:val="Heading6"/>
        <w:spacing w:line="240" w:lineRule="auto"/>
        <w:jc w:val="center"/>
        <w:rPr>
          <w:sz w:val="28"/>
          <w:rtl/>
          <w:lang w:bidi="fa-IR"/>
        </w:rPr>
      </w:pPr>
    </w:p>
    <w:bookmarkEnd w:id="0"/>
    <w:p w:rsidR="00CB17F2" w:rsidRDefault="00CB17F2" w:rsidP="00CB17F2">
      <w:pPr>
        <w:pStyle w:val="Heading6"/>
        <w:spacing w:line="240" w:lineRule="auto"/>
        <w:jc w:val="center"/>
        <w:rPr>
          <w:rFonts w:cs="B Nazanin"/>
          <w:sz w:val="32"/>
          <w:szCs w:val="32"/>
          <w:rtl/>
        </w:rPr>
      </w:pPr>
    </w:p>
    <w:p w:rsidR="00CB17F2" w:rsidRPr="001077C3" w:rsidRDefault="00CB17F2" w:rsidP="00CB17F2">
      <w:pPr>
        <w:pStyle w:val="Heading6"/>
        <w:spacing w:line="240" w:lineRule="auto"/>
        <w:jc w:val="center"/>
        <w:rPr>
          <w:rFonts w:cs="B Nazanin"/>
          <w:sz w:val="32"/>
          <w:szCs w:val="32"/>
          <w:lang w:bidi="fa-IR"/>
        </w:rPr>
      </w:pPr>
      <w:r w:rsidRPr="001077C3">
        <w:rPr>
          <w:rFonts w:cs="B Nazanin" w:hint="cs"/>
          <w:sz w:val="32"/>
          <w:szCs w:val="32"/>
          <w:rtl/>
        </w:rPr>
        <w:t>دانشگا</w:t>
      </w:r>
      <w:r w:rsidRPr="001077C3">
        <w:rPr>
          <w:rFonts w:cs="B Nazanin" w:hint="cs"/>
          <w:sz w:val="32"/>
          <w:szCs w:val="32"/>
          <w:rtl/>
          <w:lang w:bidi="fa-IR"/>
        </w:rPr>
        <w:t>ه آزاد اسلامي</w:t>
      </w:r>
    </w:p>
    <w:p w:rsidR="00CB17F2" w:rsidRPr="001077C3" w:rsidRDefault="00CB17F2" w:rsidP="00CB17F2">
      <w:pPr>
        <w:pStyle w:val="Heading6"/>
        <w:spacing w:line="240" w:lineRule="auto"/>
        <w:jc w:val="center"/>
        <w:rPr>
          <w:rFonts w:cs="B Nazanin"/>
          <w:sz w:val="32"/>
          <w:szCs w:val="32"/>
          <w:rtl/>
          <w:lang w:bidi="fa-IR"/>
        </w:rPr>
      </w:pPr>
      <w:r w:rsidRPr="001077C3">
        <w:rPr>
          <w:rFonts w:cs="B Nazanin" w:hint="cs"/>
          <w:sz w:val="32"/>
          <w:szCs w:val="32"/>
          <w:rtl/>
          <w:lang w:bidi="fa-IR"/>
        </w:rPr>
        <w:t>واحد تهران مرکز</w:t>
      </w:r>
    </w:p>
    <w:p w:rsidR="00CB17F2" w:rsidRDefault="00CB17F2" w:rsidP="00CB17F2">
      <w:pPr>
        <w:jc w:val="center"/>
        <w:rPr>
          <w:rFonts w:cs="B Titr"/>
          <w:b/>
          <w:bCs/>
          <w:sz w:val="38"/>
          <w:szCs w:val="38"/>
          <w:lang w:bidi="fa-IR"/>
        </w:rPr>
      </w:pPr>
    </w:p>
    <w:p w:rsidR="00CB17F2" w:rsidRDefault="00CB17F2" w:rsidP="00CB17F2">
      <w:pPr>
        <w:jc w:val="center"/>
        <w:rPr>
          <w:rFonts w:cs="B Titr"/>
          <w:b/>
          <w:bCs/>
          <w:sz w:val="38"/>
          <w:szCs w:val="38"/>
          <w:lang w:bidi="fa-IR"/>
        </w:rPr>
      </w:pPr>
    </w:p>
    <w:p w:rsidR="00CB17F2" w:rsidRDefault="00CB17F2" w:rsidP="00CB17F2">
      <w:pPr>
        <w:jc w:val="center"/>
        <w:rPr>
          <w:rFonts w:cs="B Titr"/>
          <w:b/>
          <w:bCs/>
          <w:sz w:val="38"/>
          <w:szCs w:val="38"/>
          <w:rtl/>
          <w:lang w:bidi="fa-IR"/>
        </w:rPr>
      </w:pPr>
    </w:p>
    <w:p w:rsidR="00CB17F2" w:rsidRDefault="00CB17F2" w:rsidP="00CB17F2">
      <w:pPr>
        <w:jc w:val="center"/>
        <w:rPr>
          <w:rFonts w:cs="B Titr"/>
          <w:b/>
          <w:bCs/>
          <w:sz w:val="42"/>
          <w:szCs w:val="42"/>
          <w:rtl/>
          <w:lang w:bidi="fa-IR"/>
        </w:rPr>
      </w:pPr>
    </w:p>
    <w:p w:rsidR="00CB17F2" w:rsidRPr="001077C3" w:rsidRDefault="00CB17F2" w:rsidP="00CB17F2">
      <w:pPr>
        <w:jc w:val="center"/>
        <w:rPr>
          <w:rFonts w:cs="B Titr"/>
          <w:b/>
          <w:bCs/>
          <w:sz w:val="36"/>
          <w:szCs w:val="36"/>
          <w:rtl/>
          <w:lang w:bidi="fa-IR"/>
        </w:rPr>
      </w:pPr>
      <w:r w:rsidRPr="001077C3">
        <w:rPr>
          <w:rFonts w:cs="B Titr" w:hint="cs"/>
          <w:b/>
          <w:bCs/>
          <w:sz w:val="36"/>
          <w:szCs w:val="36"/>
          <w:rtl/>
          <w:lang w:bidi="fa-IR"/>
        </w:rPr>
        <w:t>موضوع:</w:t>
      </w:r>
    </w:p>
    <w:p w:rsidR="00CB17F2" w:rsidRPr="001077C3" w:rsidRDefault="00CB17F2" w:rsidP="00CB17F2">
      <w:pPr>
        <w:jc w:val="center"/>
        <w:rPr>
          <w:rFonts w:cs="B Titr"/>
          <w:b/>
          <w:bCs/>
          <w:sz w:val="42"/>
          <w:szCs w:val="42"/>
          <w:rtl/>
          <w:lang w:bidi="fa-IR"/>
        </w:rPr>
      </w:pPr>
    </w:p>
    <w:p w:rsidR="00CB17F2" w:rsidRPr="005A63AC" w:rsidRDefault="00CB17F2" w:rsidP="00CB17F2">
      <w:pPr>
        <w:jc w:val="center"/>
        <w:rPr>
          <w:rFonts w:cs="B Titr"/>
          <w:b/>
          <w:bCs/>
          <w:sz w:val="42"/>
          <w:szCs w:val="42"/>
          <w:lang w:bidi="fa-IR"/>
        </w:rPr>
      </w:pPr>
      <w:r w:rsidRPr="001077C3">
        <w:rPr>
          <w:rFonts w:cs="B Titr" w:hint="cs"/>
          <w:b/>
          <w:bCs/>
          <w:sz w:val="42"/>
          <w:szCs w:val="42"/>
          <w:rtl/>
          <w:lang w:bidi="fa-IR"/>
        </w:rPr>
        <w:t xml:space="preserve">زیره سبز، نيازهاي آن براي رشد و </w:t>
      </w:r>
      <w:r>
        <w:rPr>
          <w:rFonts w:cs="B Titr" w:hint="cs"/>
          <w:b/>
          <w:bCs/>
          <w:sz w:val="42"/>
          <w:szCs w:val="42"/>
          <w:rtl/>
          <w:lang w:bidi="fa-IR"/>
        </w:rPr>
        <w:t>نمو، بیماری ها و آفات مرتبط با ا</w:t>
      </w:r>
      <w:r w:rsidRPr="001077C3">
        <w:rPr>
          <w:rFonts w:cs="B Titr" w:hint="cs"/>
          <w:b/>
          <w:bCs/>
          <w:sz w:val="42"/>
          <w:szCs w:val="42"/>
          <w:rtl/>
          <w:lang w:bidi="fa-IR"/>
        </w:rPr>
        <w:t>ین گیاه</w:t>
      </w:r>
    </w:p>
    <w:p w:rsidR="00CB17F2" w:rsidRDefault="00CB17F2" w:rsidP="00CB17F2">
      <w:pPr>
        <w:jc w:val="center"/>
        <w:rPr>
          <w:rFonts w:cs="B Titr"/>
          <w:b/>
          <w:bCs/>
          <w:sz w:val="42"/>
          <w:szCs w:val="42"/>
          <w:lang w:bidi="fa-IR"/>
        </w:rPr>
      </w:pPr>
    </w:p>
    <w:p w:rsidR="00CB17F2" w:rsidRDefault="00CB17F2" w:rsidP="00CB17F2">
      <w:pPr>
        <w:jc w:val="center"/>
        <w:rPr>
          <w:rFonts w:cs="B Titr"/>
          <w:b/>
          <w:bCs/>
          <w:sz w:val="42"/>
          <w:szCs w:val="42"/>
          <w:lang w:bidi="fa-IR"/>
        </w:rPr>
      </w:pPr>
    </w:p>
    <w:p w:rsidR="00CB17F2" w:rsidRDefault="00CB17F2" w:rsidP="00CB17F2">
      <w:pPr>
        <w:jc w:val="center"/>
        <w:rPr>
          <w:rFonts w:cs="B Titr"/>
          <w:b/>
          <w:bCs/>
          <w:sz w:val="42"/>
          <w:szCs w:val="42"/>
          <w:lang w:bidi="fa-IR"/>
        </w:rPr>
      </w:pPr>
    </w:p>
    <w:p w:rsidR="0029160C" w:rsidRDefault="0029160C" w:rsidP="0029160C">
      <w:pPr>
        <w:jc w:val="center"/>
        <w:rPr>
          <w:rFonts w:cs="B Titr"/>
          <w:b/>
          <w:bCs/>
          <w:sz w:val="42"/>
          <w:szCs w:val="42"/>
          <w:lang w:bidi="fa-IR"/>
        </w:rPr>
      </w:pPr>
    </w:p>
    <w:p w:rsidR="0029160C" w:rsidRDefault="0029160C" w:rsidP="0029160C">
      <w:pPr>
        <w:jc w:val="center"/>
        <w:rPr>
          <w:rFonts w:cs="B Titr"/>
          <w:b/>
          <w:bCs/>
          <w:sz w:val="42"/>
          <w:szCs w:val="42"/>
          <w:lang w:bidi="fa-IR"/>
        </w:rPr>
      </w:pPr>
    </w:p>
    <w:p w:rsidR="0029160C" w:rsidRDefault="0029160C" w:rsidP="0029160C">
      <w:pPr>
        <w:jc w:val="center"/>
        <w:rPr>
          <w:rFonts w:cs="B Titr"/>
          <w:b/>
          <w:bCs/>
          <w:sz w:val="42"/>
          <w:szCs w:val="42"/>
          <w:lang w:bidi="fa-IR"/>
        </w:rPr>
      </w:pPr>
    </w:p>
    <w:p w:rsidR="0029160C" w:rsidRDefault="0029160C" w:rsidP="0029160C">
      <w:pPr>
        <w:jc w:val="center"/>
        <w:rPr>
          <w:rFonts w:cs="B Titr"/>
          <w:b/>
          <w:bCs/>
          <w:sz w:val="42"/>
          <w:szCs w:val="42"/>
          <w:lang w:bidi="fa-IR"/>
        </w:rPr>
      </w:pPr>
    </w:p>
    <w:p w:rsidR="0029160C" w:rsidRDefault="0029160C" w:rsidP="0029160C">
      <w:pPr>
        <w:jc w:val="center"/>
        <w:rPr>
          <w:rFonts w:cs="B Titr"/>
          <w:b/>
          <w:bCs/>
          <w:sz w:val="42"/>
          <w:szCs w:val="42"/>
          <w:lang w:bidi="fa-IR"/>
        </w:rPr>
      </w:pPr>
    </w:p>
    <w:p w:rsidR="0029160C" w:rsidRDefault="0029160C" w:rsidP="0029160C">
      <w:pPr>
        <w:jc w:val="center"/>
        <w:rPr>
          <w:rFonts w:cs="B Titr"/>
          <w:b/>
          <w:bCs/>
          <w:sz w:val="42"/>
          <w:szCs w:val="42"/>
          <w:rtl/>
          <w:lang w:bidi="fa-IR"/>
        </w:rPr>
      </w:pPr>
    </w:p>
    <w:p w:rsidR="0029160C" w:rsidRDefault="0029160C" w:rsidP="0029160C">
      <w:pPr>
        <w:jc w:val="center"/>
        <w:rPr>
          <w:rFonts w:cs="B Titr"/>
          <w:b/>
          <w:bCs/>
          <w:sz w:val="42"/>
          <w:szCs w:val="42"/>
          <w:rtl/>
          <w:lang w:bidi="fa-IR"/>
        </w:rPr>
      </w:pPr>
    </w:p>
    <w:p w:rsidR="0029160C" w:rsidRDefault="0029160C" w:rsidP="0029160C">
      <w:pPr>
        <w:jc w:val="center"/>
        <w:rPr>
          <w:rFonts w:cs="B Titr"/>
          <w:b/>
          <w:bCs/>
          <w:sz w:val="42"/>
          <w:szCs w:val="42"/>
          <w:rtl/>
          <w:lang w:bidi="fa-IR"/>
        </w:rPr>
      </w:pPr>
    </w:p>
    <w:p w:rsidR="0029160C" w:rsidRDefault="0029160C" w:rsidP="0029160C">
      <w:pPr>
        <w:jc w:val="center"/>
        <w:rPr>
          <w:rFonts w:cs="B Titr"/>
          <w:b/>
          <w:bCs/>
          <w:sz w:val="42"/>
          <w:szCs w:val="42"/>
          <w:rtl/>
          <w:lang w:bidi="fa-IR"/>
        </w:rPr>
      </w:pPr>
    </w:p>
    <w:p w:rsidR="0029160C" w:rsidRDefault="0029160C" w:rsidP="0029160C">
      <w:pPr>
        <w:bidi/>
        <w:spacing w:line="360" w:lineRule="auto"/>
        <w:jc w:val="center"/>
        <w:rPr>
          <w:b/>
          <w:bCs/>
          <w:sz w:val="34"/>
          <w:szCs w:val="32"/>
          <w:rtl/>
        </w:rPr>
      </w:pPr>
      <w:bookmarkStart w:id="1" w:name="_GoBack"/>
      <w:bookmarkEnd w:id="1"/>
      <w:r>
        <w:rPr>
          <w:rFonts w:hint="cs"/>
          <w:b/>
          <w:bCs/>
          <w:sz w:val="34"/>
          <w:szCs w:val="32"/>
          <w:rtl/>
        </w:rPr>
        <w:t>فهرست مطالب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gridCol w:w="1188"/>
      </w:tblGrid>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عنوان</w:t>
            </w:r>
          </w:p>
        </w:tc>
        <w:tc>
          <w:tcPr>
            <w:tcW w:w="1188"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صفحه</w:t>
            </w: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مقدمه</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rPr>
                <w:b/>
                <w:bCs/>
              </w:rPr>
            </w:pPr>
            <w:r>
              <w:rPr>
                <w:rFonts w:hint="cs"/>
                <w:b/>
                <w:bCs/>
                <w:rtl/>
              </w:rPr>
              <w:t>فصل اول؛ تاريخچه و مبدأ زيره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rPr>
                <w:b/>
                <w:bCs/>
              </w:rPr>
            </w:pPr>
            <w:r>
              <w:rPr>
                <w:rFonts w:hint="cs"/>
                <w:b/>
                <w:bCs/>
                <w:rtl/>
              </w:rPr>
              <w:t>فصل دوم؛ گياهشناسي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2-1 تيرة جعفري</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 xml:space="preserve">2-2 جنس زيرة سبز </w:t>
            </w:r>
            <w:r>
              <w:t>Cuminum</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 xml:space="preserve">2-3 زيرة سبز </w:t>
            </w:r>
            <w:r>
              <w:t>Cuminum Cyminum</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rPr>
                <w:b/>
                <w:bCs/>
              </w:rPr>
            </w:pPr>
            <w:r>
              <w:rPr>
                <w:rFonts w:hint="cs"/>
                <w:b/>
                <w:bCs/>
                <w:rtl/>
              </w:rPr>
              <w:t>فصل سوم؛ زيرة سبز و نيازهاي آن براي رشد و نمو</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3-1 محيط رشد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3-1-1 نيازهاي حرارتي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3-1-2 نيازهاي رطوبتي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3-1-3- خاك مناسب براي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3-1-4 نيازهاي نوري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3-2 اجزاي عملكرد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3-2-1 عملكرد دانة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3-3 مراحل نمو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3-4 واكنش زيرة سبز به تنشهاي محيطي</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3-4-1 اثر تنش كم آبي بر مؤلفه هاي عملكرد بذر، در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3-4-2 تنش شوري</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lastRenderedPageBreak/>
              <w:t>3-4-3 تنش گرمايي</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3-5 زيرة سبز در تناوب</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3-6 كوددهي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rPr>
                <w:b/>
                <w:bCs/>
              </w:rPr>
            </w:pPr>
            <w:r>
              <w:rPr>
                <w:rFonts w:hint="cs"/>
                <w:b/>
                <w:bCs/>
                <w:rtl/>
              </w:rPr>
              <w:t>فصل چهارم؛ از كاشت تا برداشت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4-1 تهية بستر بذر</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4-2 آماده سازي بذر جهت كاشت</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4-3 كاشت بذر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4-4 تاريخ كاشت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4-5 برداشت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4-5-1 عملكرد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4-6 زمان برداشت و آماده سازي محصول براي بازار</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4-7 آب مورد نياز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4-7-1 اثر آبياري بر اجزاء عملكرد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4-7-2 وزن هزار دانة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4-7-3 تعداد چتر در بوتة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4-7-4 تعداد دانه در چتر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4-7-5 عملكرد دانه</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rPr>
                <w:b/>
                <w:bCs/>
              </w:rPr>
            </w:pPr>
            <w:r>
              <w:rPr>
                <w:rFonts w:hint="cs"/>
                <w:b/>
                <w:bCs/>
                <w:rtl/>
              </w:rPr>
              <w:t>فصل پنجم؛ بيماريها، آفات و علفهاي هرز زيرة سبز و نحوه كنترل آنها</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5-1 بيماريهاي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5-1-1 بيماري بوته ميري يا پژمردگي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5-1-1-1 روشهاي مبارزه</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lastRenderedPageBreak/>
              <w:t>5-1-3 بيماري سوختگي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5-1-4 بيماريهاي ديگر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5-2 آفات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5-3 مبارزه با علفهاي هرز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rPr>
                <w:b/>
                <w:bCs/>
              </w:rPr>
            </w:pPr>
            <w:r>
              <w:rPr>
                <w:rFonts w:hint="cs"/>
                <w:b/>
                <w:bCs/>
                <w:rtl/>
              </w:rPr>
              <w:t>فصل ششم؛ خواص، مصارف و جنبه هاي اقتصادي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6-1 خواص و مصارف داروئي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6-2 مصارف غذايي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6-3 ساير موارد مصرف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6-4 اسانس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 xml:space="preserve">6-4-1 تركيبات شيميايي اسانس زيرة سبز </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6-4-2 روشهاي استخراج اسانس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6-5-1 اهميت اقتصادي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6-5-2 سطح زير كشت، توليد و عملكرد زيرة سبز در ايران</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6-5-3 صادرات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rPr>
                <w:b/>
                <w:bCs/>
              </w:rPr>
            </w:pPr>
            <w:r>
              <w:rPr>
                <w:rFonts w:hint="cs"/>
                <w:b/>
                <w:bCs/>
                <w:rtl/>
              </w:rPr>
              <w:t>فصل هفتم؛ ژنتيك و اصلاح در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7-1 ژنتيك زيرة سبز</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r w:rsidR="0029160C" w:rsidTr="0029160C">
        <w:tc>
          <w:tcPr>
            <w:tcW w:w="7334" w:type="dxa"/>
            <w:tcBorders>
              <w:top w:val="single" w:sz="4" w:space="0" w:color="auto"/>
              <w:left w:val="single" w:sz="4" w:space="0" w:color="auto"/>
              <w:bottom w:val="single" w:sz="4" w:space="0" w:color="auto"/>
              <w:right w:val="single" w:sz="4" w:space="0" w:color="auto"/>
            </w:tcBorders>
            <w:hideMark/>
          </w:tcPr>
          <w:p w:rsidR="0029160C" w:rsidRDefault="0029160C">
            <w:pPr>
              <w:bidi/>
              <w:spacing w:line="360" w:lineRule="auto"/>
              <w:jc w:val="both"/>
            </w:pPr>
            <w:r>
              <w:rPr>
                <w:rFonts w:hint="cs"/>
                <w:rtl/>
              </w:rPr>
              <w:t>فصل هشتم؛ منابع مورد استفاده</w:t>
            </w:r>
          </w:p>
        </w:tc>
        <w:tc>
          <w:tcPr>
            <w:tcW w:w="1188" w:type="dxa"/>
            <w:tcBorders>
              <w:top w:val="single" w:sz="4" w:space="0" w:color="auto"/>
              <w:left w:val="single" w:sz="4" w:space="0" w:color="auto"/>
              <w:bottom w:val="single" w:sz="4" w:space="0" w:color="auto"/>
              <w:right w:val="single" w:sz="4" w:space="0" w:color="auto"/>
            </w:tcBorders>
          </w:tcPr>
          <w:p w:rsidR="0029160C" w:rsidRDefault="0029160C">
            <w:pPr>
              <w:bidi/>
              <w:spacing w:line="360" w:lineRule="auto"/>
              <w:jc w:val="both"/>
            </w:pPr>
          </w:p>
        </w:tc>
      </w:tr>
    </w:tbl>
    <w:p w:rsidR="0029160C" w:rsidRDefault="0029160C" w:rsidP="0029160C">
      <w:pPr>
        <w:bidi/>
        <w:spacing w:line="360" w:lineRule="auto"/>
        <w:jc w:val="both"/>
        <w:rPr>
          <w:rtl/>
        </w:rPr>
      </w:pPr>
    </w:p>
    <w:p w:rsidR="0029160C" w:rsidRDefault="0029160C" w:rsidP="0029160C">
      <w:pPr>
        <w:bidi/>
        <w:spacing w:line="360" w:lineRule="auto"/>
        <w:jc w:val="both"/>
        <w:rPr>
          <w:b/>
          <w:bCs/>
          <w:rtl/>
        </w:rPr>
      </w:pPr>
      <w:r>
        <w:rPr>
          <w:rFonts w:hint="cs"/>
          <w:rtl/>
        </w:rPr>
        <w:br w:type="page"/>
      </w:r>
      <w:r>
        <w:rPr>
          <w:rFonts w:hint="cs"/>
          <w:b/>
          <w:bCs/>
          <w:rtl/>
        </w:rPr>
        <w:lastRenderedPageBreak/>
        <w:t>مقدمه</w:t>
      </w:r>
    </w:p>
    <w:p w:rsidR="0029160C" w:rsidRDefault="0029160C" w:rsidP="0029160C">
      <w:pPr>
        <w:pStyle w:val="BodyText"/>
        <w:rPr>
          <w:rtl/>
        </w:rPr>
      </w:pPr>
      <w:r>
        <w:rPr>
          <w:rFonts w:hint="cs"/>
          <w:rtl/>
        </w:rPr>
        <w:t>انسانها علاوه بر تأمين مواد غذايي بسياري از نيازهاي روزمره زندگي خود را از گياهان تأمين مي كنند. شايد بتوان گفت كه نقش گياهان در تأمين اينگونه نيازهاي جامعة انساني، كمتر از نقش آنها در تأمين محصولات غذايي نيست.</w:t>
      </w:r>
    </w:p>
    <w:p w:rsidR="0029160C" w:rsidRDefault="0029160C" w:rsidP="0029160C">
      <w:pPr>
        <w:bidi/>
        <w:spacing w:line="360" w:lineRule="auto"/>
        <w:jc w:val="both"/>
        <w:rPr>
          <w:rtl/>
        </w:rPr>
      </w:pPr>
      <w:r>
        <w:rPr>
          <w:rFonts w:hint="cs"/>
          <w:rtl/>
        </w:rPr>
        <w:t>از جملة اين مواد كاغذ، پلاستيك، چسب، داروهاي گياهي و نوشيدني هايي مثل چاي و كاكائوست كه گياهان مختلفي را ما در تهية و توليد اين مواد استفاده مي كنيم.</w:t>
      </w:r>
    </w:p>
    <w:p w:rsidR="0029160C" w:rsidRDefault="0029160C" w:rsidP="0029160C">
      <w:pPr>
        <w:bidi/>
        <w:spacing w:line="360" w:lineRule="auto"/>
        <w:jc w:val="both"/>
        <w:rPr>
          <w:rtl/>
        </w:rPr>
      </w:pPr>
      <w:r>
        <w:rPr>
          <w:rFonts w:hint="cs"/>
          <w:rtl/>
        </w:rPr>
        <w:t>آنچه كه در انتخاب گياهان زراعي جهت كشت در يك منطقه اهميت دارد سازگاري با عوامل محيطي و با صرفه بودن از نظر اقتصادي مي باشد كه باعث مي شود كه يك گياه زراعي در يك منطقه مورد كشت كار قرار گيرد.</w:t>
      </w:r>
    </w:p>
    <w:p w:rsidR="0029160C" w:rsidRDefault="0029160C" w:rsidP="0029160C">
      <w:pPr>
        <w:bidi/>
        <w:spacing w:line="360" w:lineRule="auto"/>
        <w:jc w:val="both"/>
        <w:rPr>
          <w:rtl/>
        </w:rPr>
      </w:pPr>
      <w:r>
        <w:rPr>
          <w:rFonts w:hint="cs"/>
          <w:rtl/>
        </w:rPr>
        <w:t>زيرة سبز بعنوان گياهي ارزشمند از نظر دارويي داراي ويژگيهاي است كه جايگاه آنرا در الگوي كشت مناطق خاصي از كشورمان تثبيت نموده است. مهمترين اين ويژگيها عبارتند از:</w:t>
      </w:r>
    </w:p>
    <w:p w:rsidR="0029160C" w:rsidRDefault="0029160C" w:rsidP="0029160C">
      <w:pPr>
        <w:bidi/>
        <w:spacing w:line="360" w:lineRule="auto"/>
        <w:jc w:val="both"/>
        <w:rPr>
          <w:rtl/>
        </w:rPr>
      </w:pPr>
      <w:r>
        <w:rPr>
          <w:rFonts w:hint="cs"/>
          <w:rtl/>
        </w:rPr>
        <w:t>1) فصل رشد نسبتاً كوتاه زيرة سبز (100 تا 120 روز) باعث مي شود پس از برداشت محصول زمين را زير كشت محصولاتي نظير ذرت علوفه اي، سويا، هويج، ارزن، كنجد و برد و يا اقدامات اصلاحي روي خاك انجام داد.</w:t>
      </w:r>
    </w:p>
    <w:p w:rsidR="0029160C" w:rsidRDefault="0029160C" w:rsidP="0029160C">
      <w:pPr>
        <w:bidi/>
        <w:spacing w:line="360" w:lineRule="auto"/>
        <w:jc w:val="both"/>
        <w:rPr>
          <w:rtl/>
        </w:rPr>
      </w:pPr>
      <w:r>
        <w:rPr>
          <w:rFonts w:hint="cs"/>
          <w:rtl/>
        </w:rPr>
        <w:t>2) زيرة سبز نياز آبي كمي دارد. علاوه بر آن، قسمت عمدة آب مورد نياز خود را از نزولات جوي تأمين مي كند.</w:t>
      </w:r>
    </w:p>
    <w:p w:rsidR="0029160C" w:rsidRDefault="0029160C" w:rsidP="0029160C">
      <w:pPr>
        <w:bidi/>
        <w:spacing w:line="360" w:lineRule="auto"/>
        <w:jc w:val="both"/>
        <w:rPr>
          <w:rtl/>
        </w:rPr>
      </w:pPr>
      <w:r>
        <w:rPr>
          <w:rFonts w:hint="cs"/>
          <w:rtl/>
        </w:rPr>
        <w:t>3) فصل كاري زيرة سبز در مناطق كشت با فصل كاري محصولات ديگر تلاقي نداشته و تعادلي در توزيع زماني كار زارعين و ماشين آلات كشاورزي ايجاد مي كند.</w:t>
      </w:r>
    </w:p>
    <w:p w:rsidR="0029160C" w:rsidRDefault="0029160C" w:rsidP="0029160C">
      <w:pPr>
        <w:bidi/>
        <w:spacing w:line="360" w:lineRule="auto"/>
        <w:jc w:val="both"/>
        <w:rPr>
          <w:rtl/>
        </w:rPr>
      </w:pPr>
      <w:r>
        <w:rPr>
          <w:rFonts w:hint="cs"/>
          <w:rtl/>
        </w:rPr>
        <w:t>4) زيرة سبز در مقايسه با ساير محصولات زراعي از توجيه اقتصادي بالايي برخوردار است، خصوصاً در مناطقي كه آب عامل محدود كننده است.</w:t>
      </w:r>
    </w:p>
    <w:p w:rsidR="0029160C" w:rsidRDefault="0029160C" w:rsidP="0029160C">
      <w:pPr>
        <w:bidi/>
        <w:spacing w:line="360" w:lineRule="auto"/>
        <w:jc w:val="both"/>
        <w:rPr>
          <w:rtl/>
        </w:rPr>
      </w:pPr>
      <w:r>
        <w:rPr>
          <w:rFonts w:hint="cs"/>
          <w:rtl/>
        </w:rPr>
        <w:lastRenderedPageBreak/>
        <w:t>5) از آنجا كه زيرة سبز گياهي صادراتي است، قيمت آن كمتر دچار نوسانات شده و موجب اطمينان خاطر كشاورز از فروش محصول خود به قيمت مناسب مي شود. (م 9)</w:t>
      </w:r>
    </w:p>
    <w:p w:rsidR="0029160C" w:rsidRDefault="0029160C" w:rsidP="0029160C">
      <w:pPr>
        <w:bidi/>
        <w:spacing w:line="360" w:lineRule="auto"/>
        <w:jc w:val="both"/>
        <w:rPr>
          <w:rtl/>
        </w:rPr>
      </w:pPr>
      <w:r>
        <w:rPr>
          <w:rFonts w:hint="cs"/>
          <w:rtl/>
        </w:rPr>
        <w:t>حال با توجه به اين ويژگيها در اين پايان نامه به تحقيق و جمع آوري اطلاعات در مورد اين گياه ارزشمند پرداخته ايم.</w:t>
      </w:r>
    </w:p>
    <w:p w:rsidR="0029160C" w:rsidRDefault="0029160C" w:rsidP="0029160C">
      <w:pPr>
        <w:bidi/>
        <w:spacing w:line="360" w:lineRule="auto"/>
        <w:jc w:val="both"/>
        <w:rPr>
          <w:rtl/>
        </w:rPr>
      </w:pPr>
    </w:p>
    <w:p w:rsidR="0029160C" w:rsidRDefault="0029160C" w:rsidP="0029160C">
      <w:pPr>
        <w:pStyle w:val="Heading1"/>
        <w:rPr>
          <w:rtl/>
        </w:rPr>
      </w:pPr>
      <w:r>
        <w:rPr>
          <w:rFonts w:hint="cs"/>
          <w:b w:val="0"/>
          <w:bCs w:val="0"/>
          <w:rtl/>
        </w:rPr>
        <w:br w:type="page"/>
      </w:r>
      <w:r>
        <w:rPr>
          <w:rFonts w:hint="cs"/>
          <w:rtl/>
        </w:rPr>
        <w:lastRenderedPageBreak/>
        <w:t>فصل اول: تاريخچة و مبدأ زيرة سبز</w:t>
      </w:r>
    </w:p>
    <w:p w:rsidR="0029160C" w:rsidRDefault="0029160C" w:rsidP="0029160C">
      <w:pPr>
        <w:bidi/>
        <w:spacing w:line="360" w:lineRule="auto"/>
        <w:jc w:val="both"/>
        <w:rPr>
          <w:rtl/>
        </w:rPr>
      </w:pPr>
      <w:r>
        <w:rPr>
          <w:rFonts w:hint="cs"/>
          <w:rtl/>
        </w:rPr>
        <w:t xml:space="preserve">زيرة سبز بعنوان يك گياه دارويي و ادويه اي از روزگاران كهن مورد استفاده قرار مي گرفته بطوريكه در كتاب مقدس </w:t>
      </w:r>
      <w:r>
        <w:t>Ebers Papyrus</w:t>
      </w:r>
      <w:r>
        <w:rPr>
          <w:rFonts w:hint="cs"/>
          <w:rtl/>
        </w:rPr>
        <w:t xml:space="preserve"> (1550 قبل از ميلاد) به شناخت بذر زيره اشاره شده است. (م 1) </w:t>
      </w:r>
    </w:p>
    <w:p w:rsidR="0029160C" w:rsidRDefault="0029160C" w:rsidP="0029160C">
      <w:pPr>
        <w:bidi/>
        <w:spacing w:line="360" w:lineRule="auto"/>
        <w:jc w:val="both"/>
        <w:rPr>
          <w:rtl/>
        </w:rPr>
      </w:pPr>
      <w:r>
        <w:rPr>
          <w:rFonts w:hint="cs"/>
          <w:rtl/>
        </w:rPr>
        <w:t>در مبدأ جغرافيايي زيره سبز اختلاف نظر وجود دار د. بعضي آنرا بومي مناطق جنوبي مديترانه و عده اي بومي ناحية علياي مصر و سواحل نيل مي دانند. (م 9)</w:t>
      </w:r>
    </w:p>
    <w:p w:rsidR="0029160C" w:rsidRDefault="0029160C" w:rsidP="0029160C">
      <w:pPr>
        <w:bidi/>
        <w:spacing w:line="360" w:lineRule="auto"/>
        <w:jc w:val="both"/>
        <w:rPr>
          <w:rtl/>
        </w:rPr>
      </w:pPr>
      <w:r>
        <w:rPr>
          <w:rFonts w:hint="cs"/>
          <w:rtl/>
        </w:rPr>
        <w:t>قديمي ترين اثري كه از زيره سبز در تاريخ بدست آمده مصرف آنرا به 5000 سال قبل مي برد كه مصريان براي موميايي فراعنه از آن به همراه باديان و مرزنجوش استفاده مي كردند. از زيره درپاپيروس ها به عنوان يك ضد تشنج، ملين، مسكن و محرك نامبرده و در طب سنتي هند محرك و مفيد براي اسهال و ورم روده بكار برده مي شده است. (م 9)</w:t>
      </w:r>
    </w:p>
    <w:p w:rsidR="0029160C" w:rsidRDefault="0029160C" w:rsidP="0029160C">
      <w:pPr>
        <w:bidi/>
        <w:spacing w:line="360" w:lineRule="auto"/>
        <w:jc w:val="both"/>
        <w:rPr>
          <w:rtl/>
        </w:rPr>
      </w:pPr>
      <w:r>
        <w:rPr>
          <w:rFonts w:hint="cs"/>
          <w:rtl/>
        </w:rPr>
        <w:t xml:space="preserve">نظر به قدمت و وسعت كشت و تنوع نمونه هاي وحشي زيره سبز بخصوص گونة </w:t>
      </w:r>
      <w:r>
        <w:t>Cuminum Setifolium</w:t>
      </w:r>
      <w:r>
        <w:rPr>
          <w:rFonts w:hint="cs"/>
          <w:rtl/>
        </w:rPr>
        <w:t xml:space="preserve"> در ايران، اين احتمال تقويت مي شود كه منشاء تكامل و اهلي شدن اين گياه غلات ايران باشد.</w:t>
      </w:r>
    </w:p>
    <w:p w:rsidR="0029160C" w:rsidRDefault="0029160C" w:rsidP="0029160C">
      <w:pPr>
        <w:bidi/>
        <w:spacing w:line="360" w:lineRule="auto"/>
        <w:jc w:val="both"/>
        <w:rPr>
          <w:rtl/>
        </w:rPr>
      </w:pPr>
      <w:r>
        <w:rPr>
          <w:rFonts w:hint="cs"/>
          <w:rtl/>
        </w:rPr>
        <w:t>در ايران نمونه هاي نيمه وحشي اين گياه از سبزوار، سرخس و صالح اباد، سرخه سمنان، گرمسار، غرب كاشمر، بين خواف و تايباد، سرخس و درياچة بزنگان و جنوب تربت حيدريه گزارش گرديده است.</w:t>
      </w:r>
    </w:p>
    <w:p w:rsidR="00203E1B" w:rsidRDefault="00203E1B"/>
    <w:sectPr w:rsidR="00203E1B"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29160C"/>
    <w:rsid w:val="00203E1B"/>
    <w:rsid w:val="0029160C"/>
    <w:rsid w:val="00CB17F2"/>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C4BA"/>
  <w15:docId w15:val="{352A6B48-29FD-48BB-B113-57EB57A0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160C"/>
    <w:pPr>
      <w:spacing w:after="0" w:line="240" w:lineRule="auto"/>
    </w:pPr>
    <w:rPr>
      <w:rFonts w:ascii="Times New Roman" w:eastAsia="Times New Roman" w:hAnsi="Times New Roman" w:cs="B Yagut"/>
      <w:sz w:val="24"/>
      <w:szCs w:val="28"/>
      <w:lang w:bidi="ar-SA"/>
    </w:rPr>
  </w:style>
  <w:style w:type="paragraph" w:styleId="Heading1">
    <w:name w:val="heading 1"/>
    <w:basedOn w:val="Normal"/>
    <w:next w:val="Normal"/>
    <w:link w:val="Heading1Char"/>
    <w:qFormat/>
    <w:rsid w:val="0029160C"/>
    <w:pPr>
      <w:keepNext/>
      <w:bidi/>
      <w:spacing w:line="360" w:lineRule="auto"/>
      <w:jc w:val="both"/>
      <w:outlineLvl w:val="0"/>
    </w:pPr>
    <w:rPr>
      <w:b/>
      <w:bCs/>
    </w:rPr>
  </w:style>
  <w:style w:type="paragraph" w:styleId="Heading6">
    <w:name w:val="heading 6"/>
    <w:basedOn w:val="Normal"/>
    <w:next w:val="Normal"/>
    <w:link w:val="Heading6Char"/>
    <w:semiHidden/>
    <w:unhideWhenUsed/>
    <w:qFormat/>
    <w:rsid w:val="0029160C"/>
    <w:pPr>
      <w:keepNext/>
      <w:bidi/>
      <w:spacing w:line="360" w:lineRule="auto"/>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60C"/>
    <w:rPr>
      <w:rFonts w:ascii="Times New Roman" w:eastAsia="Times New Roman" w:hAnsi="Times New Roman" w:cs="B Yagut"/>
      <w:b/>
      <w:bCs/>
      <w:sz w:val="24"/>
      <w:szCs w:val="28"/>
      <w:lang w:bidi="ar-SA"/>
    </w:rPr>
  </w:style>
  <w:style w:type="character" w:customStyle="1" w:styleId="Heading6Char">
    <w:name w:val="Heading 6 Char"/>
    <w:basedOn w:val="DefaultParagraphFont"/>
    <w:link w:val="Heading6"/>
    <w:semiHidden/>
    <w:rsid w:val="0029160C"/>
    <w:rPr>
      <w:rFonts w:ascii="Times New Roman" w:eastAsia="Times New Roman" w:hAnsi="Times New Roman" w:cs="B Yagut"/>
      <w:b/>
      <w:bCs/>
      <w:sz w:val="24"/>
      <w:szCs w:val="28"/>
      <w:lang w:bidi="ar-SA"/>
    </w:rPr>
  </w:style>
  <w:style w:type="paragraph" w:styleId="BodyText">
    <w:name w:val="Body Text"/>
    <w:basedOn w:val="Normal"/>
    <w:link w:val="BodyTextChar"/>
    <w:semiHidden/>
    <w:unhideWhenUsed/>
    <w:rsid w:val="0029160C"/>
    <w:pPr>
      <w:bidi/>
      <w:spacing w:line="360" w:lineRule="auto"/>
      <w:jc w:val="both"/>
    </w:pPr>
  </w:style>
  <w:style w:type="character" w:customStyle="1" w:styleId="BodyTextChar">
    <w:name w:val="Body Text Char"/>
    <w:basedOn w:val="DefaultParagraphFont"/>
    <w:link w:val="BodyText"/>
    <w:semiHidden/>
    <w:rsid w:val="0029160C"/>
    <w:rPr>
      <w:rFonts w:ascii="Times New Roman" w:eastAsia="Times New Roman" w:hAnsi="Times New Roman" w:cs="B Yagut"/>
      <w:sz w:val="24"/>
      <w:szCs w:val="28"/>
      <w:lang w:bidi="ar-SA"/>
    </w:rPr>
  </w:style>
  <w:style w:type="paragraph" w:styleId="BalloonText">
    <w:name w:val="Balloon Text"/>
    <w:basedOn w:val="Normal"/>
    <w:link w:val="BalloonTextChar"/>
    <w:uiPriority w:val="99"/>
    <w:semiHidden/>
    <w:unhideWhenUsed/>
    <w:rsid w:val="0029160C"/>
    <w:rPr>
      <w:rFonts w:ascii="Tahoma" w:hAnsi="Tahoma" w:cs="Tahoma"/>
      <w:sz w:val="16"/>
      <w:szCs w:val="16"/>
    </w:rPr>
  </w:style>
  <w:style w:type="character" w:customStyle="1" w:styleId="BalloonTextChar">
    <w:name w:val="Balloon Text Char"/>
    <w:basedOn w:val="DefaultParagraphFont"/>
    <w:link w:val="BalloonText"/>
    <w:uiPriority w:val="99"/>
    <w:semiHidden/>
    <w:rsid w:val="0029160C"/>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9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2015-10-29T11:28:00Z</dcterms:created>
  <dcterms:modified xsi:type="dcterms:W3CDTF">2016-09-27T13:35:00Z</dcterms:modified>
</cp:coreProperties>
</file>