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86" w:rsidRPr="004A5686" w:rsidRDefault="004A5686" w:rsidP="004A5686">
      <w:pPr>
        <w:spacing w:line="360" w:lineRule="auto"/>
        <w:jc w:val="center"/>
        <w:rPr>
          <w:rFonts w:ascii="Arial" w:hAnsi="Arial" w:cs="Nazanin"/>
          <w:b/>
          <w:bCs/>
          <w:sz w:val="38"/>
          <w:szCs w:val="38"/>
          <w:rtl/>
        </w:rPr>
      </w:pPr>
    </w:p>
    <w:p w:rsidR="004A5686" w:rsidRPr="004A5686" w:rsidRDefault="004A5686" w:rsidP="004A5686">
      <w:pPr>
        <w:pStyle w:val="Heading6"/>
        <w:spacing w:line="268" w:lineRule="auto"/>
        <w:rPr>
          <w:sz w:val="36"/>
          <w:lang w:bidi="fa-IR"/>
        </w:rPr>
      </w:pPr>
      <w:r w:rsidRPr="004A5686">
        <w:rPr>
          <w:noProof/>
          <w:sz w:val="26"/>
          <w:szCs w:val="26"/>
          <w:lang w:bidi="fa-IR"/>
        </w:rPr>
        <w:drawing>
          <wp:inline distT="0" distB="0" distL="0" distR="0">
            <wp:extent cx="4286250" cy="587692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686">
        <w:rPr>
          <w:rFonts w:cs="B Zar"/>
          <w:b/>
          <w:bCs/>
          <w:sz w:val="28"/>
          <w:rtl/>
          <w:lang w:bidi="fa-IR"/>
        </w:rPr>
        <w:br w:type="page"/>
      </w:r>
    </w:p>
    <w:p w:rsidR="004A5686" w:rsidRPr="004A5686" w:rsidRDefault="004A5686" w:rsidP="004A5686">
      <w:pPr>
        <w:pStyle w:val="Heading6"/>
        <w:spacing w:line="268" w:lineRule="auto"/>
        <w:rPr>
          <w:noProof/>
          <w:sz w:val="2"/>
          <w:szCs w:val="4"/>
          <w:rtl/>
        </w:rPr>
      </w:pPr>
      <w:r w:rsidRPr="004A5686">
        <w:rPr>
          <w:rFonts w:hint="cs"/>
          <w:noProof/>
          <w:sz w:val="6"/>
          <w:szCs w:val="8"/>
          <w:rtl/>
          <w:lang w:bidi="fa-I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-266700</wp:posOffset>
            </wp:positionV>
            <wp:extent cx="832485" cy="1200150"/>
            <wp:effectExtent l="19050" t="0" r="571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686" w:rsidRPr="004A5686" w:rsidRDefault="004A5686" w:rsidP="004A5686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D50BC8" w:rsidRDefault="00D50BC8" w:rsidP="00D50BC8">
      <w:pPr>
        <w:pStyle w:val="Heading6"/>
        <w:spacing w:line="240" w:lineRule="auto"/>
        <w:rPr>
          <w:rFonts w:cs="B Zar"/>
          <w:b/>
          <w:bCs/>
          <w:sz w:val="24"/>
          <w:szCs w:val="24"/>
          <w:rtl/>
        </w:rPr>
      </w:pPr>
    </w:p>
    <w:p w:rsidR="00D50BC8" w:rsidRDefault="00D50BC8" w:rsidP="00D50BC8">
      <w:pPr>
        <w:pStyle w:val="Heading6"/>
        <w:spacing w:line="240" w:lineRule="auto"/>
        <w:rPr>
          <w:rFonts w:cs="B Zar"/>
          <w:b/>
          <w:bCs/>
          <w:sz w:val="24"/>
          <w:szCs w:val="24"/>
          <w:rtl/>
        </w:rPr>
      </w:pPr>
    </w:p>
    <w:p w:rsidR="00D50BC8" w:rsidRDefault="00D50BC8" w:rsidP="00D50BC8">
      <w:pPr>
        <w:pStyle w:val="Heading6"/>
        <w:spacing w:line="240" w:lineRule="auto"/>
        <w:rPr>
          <w:rFonts w:cs="B Zar"/>
          <w:b/>
          <w:bCs/>
          <w:sz w:val="24"/>
          <w:szCs w:val="24"/>
          <w:lang w:bidi="fa-IR"/>
        </w:rPr>
      </w:pPr>
      <w:bookmarkStart w:id="0" w:name="_GoBack"/>
      <w:bookmarkEnd w:id="0"/>
      <w:r>
        <w:rPr>
          <w:rFonts w:cs="B Zar" w:hint="cs"/>
          <w:b/>
          <w:bCs/>
          <w:sz w:val="24"/>
          <w:szCs w:val="24"/>
          <w:rtl/>
        </w:rPr>
        <w:t>دانشگا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ه آزاد اسلامي </w:t>
      </w:r>
    </w:p>
    <w:p w:rsidR="00D50BC8" w:rsidRDefault="00D50BC8" w:rsidP="00D50BC8">
      <w:pPr>
        <w:pStyle w:val="Heading6"/>
        <w:spacing w:line="240" w:lineRule="auto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واحد تهران مرکز</w:t>
      </w:r>
    </w:p>
    <w:p w:rsidR="00D50BC8" w:rsidRDefault="00D50BC8" w:rsidP="00D50BC8">
      <w:pPr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</w:p>
    <w:p w:rsidR="00D50BC8" w:rsidRDefault="00D50BC8" w:rsidP="00D50BC8">
      <w:pPr>
        <w:spacing w:line="360" w:lineRule="auto"/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</w:p>
    <w:p w:rsidR="00D50BC8" w:rsidRDefault="00D50BC8" w:rsidP="00D50BC8">
      <w:pPr>
        <w:spacing w:line="360" w:lineRule="auto"/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  <w:r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D50BC8" w:rsidRDefault="00D50BC8" w:rsidP="00D50BC8">
      <w:pPr>
        <w:spacing w:line="360" w:lineRule="auto"/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  <w:r>
        <w:rPr>
          <w:rFonts w:cs="B Zar" w:hint="cs"/>
          <w:b/>
          <w:bCs/>
          <w:sz w:val="40"/>
          <w:szCs w:val="40"/>
          <w:rtl/>
          <w:lang w:bidi="fa-IR"/>
        </w:rPr>
        <w:t>زن در آثار عطار نیشابوری</w:t>
      </w:r>
    </w:p>
    <w:p w:rsidR="00D50BC8" w:rsidRDefault="00D50BC8" w:rsidP="00D50BC8">
      <w:pPr>
        <w:spacing w:line="360" w:lineRule="auto"/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</w:p>
    <w:p w:rsidR="00D50BC8" w:rsidRDefault="00D50BC8" w:rsidP="00D50BC8">
      <w:pPr>
        <w:spacing w:line="360" w:lineRule="auto"/>
        <w:rPr>
          <w:rFonts w:cs="B Zar" w:hint="cs"/>
          <w:b/>
          <w:bCs/>
          <w:sz w:val="40"/>
          <w:szCs w:val="40"/>
          <w:rtl/>
          <w:lang w:bidi="fa-IR"/>
        </w:rPr>
      </w:pPr>
    </w:p>
    <w:p w:rsidR="00D50BC8" w:rsidRDefault="00D50BC8" w:rsidP="00D50BC8">
      <w:pPr>
        <w:spacing w:line="360" w:lineRule="auto"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استاد راهنما:</w:t>
      </w:r>
    </w:p>
    <w:p w:rsidR="00D50BC8" w:rsidRDefault="00D50BC8" w:rsidP="00D50BC8">
      <w:pPr>
        <w:spacing w:line="360" w:lineRule="auto"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</w:p>
    <w:p w:rsidR="00D50BC8" w:rsidRDefault="00D50BC8" w:rsidP="00D50BC8">
      <w:pPr>
        <w:spacing w:line="360" w:lineRule="auto"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دانشجو:</w:t>
      </w:r>
    </w:p>
    <w:p w:rsidR="004A5686" w:rsidRDefault="004A5686" w:rsidP="004A5686">
      <w:pPr>
        <w:spacing w:line="360" w:lineRule="auto"/>
        <w:jc w:val="both"/>
        <w:rPr>
          <w:rFonts w:cs="B Jadid"/>
          <w:b/>
          <w:bCs/>
          <w:sz w:val="46"/>
          <w:szCs w:val="46"/>
          <w:rtl/>
          <w:lang w:bidi="fa-IR"/>
        </w:rPr>
      </w:pPr>
    </w:p>
    <w:p w:rsidR="00D50BC8" w:rsidRPr="004A5686" w:rsidRDefault="00D50BC8" w:rsidP="004A5686">
      <w:pPr>
        <w:spacing w:line="360" w:lineRule="auto"/>
        <w:jc w:val="both"/>
        <w:rPr>
          <w:rFonts w:cs="B Jadid"/>
          <w:b/>
          <w:bCs/>
          <w:sz w:val="46"/>
          <w:szCs w:val="46"/>
          <w:rtl/>
          <w:lang w:bidi="fa-IR"/>
        </w:rPr>
      </w:pPr>
    </w:p>
    <w:p w:rsidR="004A5686" w:rsidRPr="004A5686" w:rsidRDefault="004A5686" w:rsidP="004A5686">
      <w:pPr>
        <w:spacing w:line="360" w:lineRule="auto"/>
        <w:jc w:val="both"/>
        <w:rPr>
          <w:rFonts w:cs="B Jadid"/>
          <w:b/>
          <w:bCs/>
          <w:sz w:val="46"/>
          <w:szCs w:val="46"/>
          <w:rtl/>
          <w:lang w:bidi="fa-IR"/>
        </w:rPr>
      </w:pPr>
    </w:p>
    <w:p w:rsidR="004A5686" w:rsidRPr="004A5686" w:rsidRDefault="004A5686" w:rsidP="004A5686">
      <w:pPr>
        <w:spacing w:line="360" w:lineRule="auto"/>
        <w:jc w:val="both"/>
        <w:rPr>
          <w:rFonts w:cs="B Jadid"/>
          <w:b/>
          <w:bCs/>
          <w:sz w:val="46"/>
          <w:szCs w:val="46"/>
          <w:rtl/>
          <w:lang w:bidi="fa-IR"/>
        </w:rPr>
      </w:pP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</w:rPr>
      </w:pPr>
      <w:r w:rsidRPr="004A5686">
        <w:rPr>
          <w:rFonts w:ascii="Tahoma" w:hAnsi="Tahoma" w:cs="Nazanin"/>
          <w:b/>
          <w:bCs/>
          <w:sz w:val="30"/>
          <w:szCs w:val="30"/>
          <w:rtl/>
        </w:rPr>
        <w:lastRenderedPageBreak/>
        <w:t>اين قديس، اين پير افسانه‏اي  عطار نيشابوري، روشنفكري متجدد و مقدس است كه با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در هم پيچيدن تفكر اسطوره‏اي و آرزوهاي نوين نمونه والاي انديشمندي است كه پا در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سنتها و اعماق و سر به سوي جهان هاي تازه كشيده است. عطار عارفي پزشك است. تجربه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هاي عارفانه را چشيده و آن را به نوعي با علم طب و دانش مدرن آميخته است. از عرفان،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شيفتگي و شيدايي، زهد و تقوا، عشق و محبت و علم دين را آموخته و از طبابت، تفكر و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استدلال، عقل و خردگرايي و علم زمين را فراگرفته است. عطار عارفي است كه در زمين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مي‏زيد و عاشقي است كه با تجربه‏هاي ملموس دنياي مادي و چشيدن عشق زميني قصد پل زدن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و رسيدن به عالم بالا را دارد. چهره اش در اعماق تاريخ گم شده است. آن ناپيداي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پيدايي است كه ذكرش همه جا هست و خود در ميان نيست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. </w:t>
      </w: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</w:rPr>
      </w:pPr>
      <w:r w:rsidRPr="004A5686">
        <w:rPr>
          <w:rFonts w:ascii="Tahoma" w:hAnsi="Tahoma" w:cs="Nazanin"/>
          <w:b/>
          <w:bCs/>
          <w:sz w:val="30"/>
          <w:szCs w:val="30"/>
        </w:rPr>
        <w:t> 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فريد الدين محمد عطار متولد كدكن نيشابور است و مدفون در همانجا. تاريخ تولد و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وفاتش در هاله مبهمي از قصه ها و افسانه ها پيچيده شده است. زندگي او را در طول قرن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ششم رقم زده‏اند و تاريخ وفاتش را با حمله مغولان به نيشابور يكي دانسته‏اند؛ و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وفات نه، كه شهادتش را، كه به روايت تذكره‏ها به دست مغولان كشته شده است. او وارث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گنجينه هاي شعر سنايي و مولاناست. قلمش را در هر دو عرصه نظم و نثر دوانده است و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شيفتگي اش را به زندگي زهاد و عباد با آثار عرفانيش نمايانده است. در عرصه نثر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تذكرة‏الاولياء را نوشت و دفتر زندگي صد عارف را با قلم شيرينش نگاشت. وي مجموعه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منظومه‏هايش را در دو مثلث شمرده است: مثلث اول، الهي نامه و اسرار نامه و مقامات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طيور (منطق الطير) و مثلث دوم، مصيبت نامه، مختارنامه و ديوان.[1] ديوان عطار شامل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مجموعه غزليات، قصايد و ترجيعات اوست و مختارنامه حاوي رباعيات وي مي‏باشد. بجز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 xml:space="preserve">اسرارنامه سه مثنوي الهي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lastRenderedPageBreak/>
        <w:t>نامه، مصيبت نامه و منطق الطير داراي روايت داستاني واحدي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است كه با مجموعه حكايات و تمثيل هاي فراوان آراسته شده است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. </w:t>
      </w: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  <w:lang w:bidi="fa-IR"/>
        </w:rPr>
      </w:pPr>
      <w:r w:rsidRPr="004A5686">
        <w:rPr>
          <w:rFonts w:ascii="Tahoma" w:hAnsi="Tahoma" w:cs="Nazanin"/>
          <w:b/>
          <w:bCs/>
          <w:sz w:val="30"/>
          <w:szCs w:val="30"/>
          <w:rtl/>
        </w:rPr>
        <w:t>طرح كلي الهي نامه يا خسرونامه عبارتست از مناظره خليفه‏اي  با شش پسر خود كه هر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يك آرزو و خواهشي در دل دارد. پسر نخست طالب رسيدن به دختر شاه پريان است، دومي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مي‏خواهد جادوگري بياموزد، سومين در جستجوي جام جم است. چهارمين آرزو دارد چشمه آب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حيات را بيابد. پنجمين انگشتر حضرت سليمان را مي‏جويد و ششمين در انديشه دست يافتن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به علم كيمياست.</w:t>
      </w: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  <w:rtl/>
        </w:rPr>
      </w:pPr>
      <w:r w:rsidRPr="004A5686">
        <w:rPr>
          <w:rFonts w:ascii="Tahoma" w:hAnsi="Tahoma" w:cs="Nazanin"/>
          <w:b/>
          <w:bCs/>
          <w:sz w:val="30"/>
          <w:szCs w:val="30"/>
          <w:rtl/>
        </w:rPr>
        <w:t>مشهورترين و عميق ترين مثنوي عطار منطق الطير اوست كه در آن ضمن ذكر اجتماع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مرغان و سؤال و جوابي كه بين آنها و هدهد پيش مي‏آيد، عطار از مقامات تَبَتُّل[3]تا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فنا و از سلوك و سير الي الله و از هفت وادي و به تعبير مولوي هفت شهر عشق سخن گفته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است.</w:t>
      </w: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</w:rPr>
      </w:pPr>
      <w:r w:rsidRPr="004A5686">
        <w:rPr>
          <w:rFonts w:ascii="Tahoma" w:hAnsi="Tahoma" w:cs="Nazanin"/>
          <w:b/>
          <w:bCs/>
          <w:sz w:val="30"/>
          <w:szCs w:val="30"/>
          <w:rtl/>
        </w:rPr>
        <w:t>منطق الطير عطار يكي از برجسته ترين آثار عرفاني در ادبيات جهان است و شايد بعد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از مثنوي شريف جلال الدين مولوي هيچ اثري در ادبيات منظوم عرفاني در جهان اسلامي به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پاي اين منظومه نرسد و آن توصيفي است از سفر مرغان به سوي سيمرغ و ماجراهايي كه در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اين راه بر ايشان گذشته و دشواري هاي راه ايشان و انصراف بعضي از ايشان و هلاك شدن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گروهي و سرانجام، رسيدن «سي مرغ» از آن جمع انبوه به زيارت «سيمرغ». در اين منظومه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لطيف ترين بيان ممكن از رابطه حق و خلق و دشواري هاي راه سلوك عرضه شده است</w:t>
      </w:r>
      <w:r w:rsidRPr="004A5686">
        <w:rPr>
          <w:rFonts w:ascii="Tahoma" w:hAnsi="Tahoma" w:cs="Nazanin" w:hint="cs"/>
          <w:b/>
          <w:bCs/>
          <w:sz w:val="30"/>
          <w:szCs w:val="30"/>
          <w:rtl/>
        </w:rPr>
        <w:t>.</w:t>
      </w: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  <w:lang w:bidi="fa-IR"/>
        </w:rPr>
      </w:pPr>
      <w:r w:rsidRPr="004A5686">
        <w:rPr>
          <w:rFonts w:ascii="Tahoma" w:hAnsi="Tahoma" w:cs="Nazanin"/>
          <w:b/>
          <w:bCs/>
          <w:sz w:val="30"/>
          <w:szCs w:val="30"/>
          <w:rtl/>
        </w:rPr>
        <w:lastRenderedPageBreak/>
        <w:t>مصيبت نامه هم از برجسته ترين آثار عطار است. شايد پس از منطق الطير مهم ترين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منظومه او باشد و به لحاظ پختگي فكر و تنوع انديشه‏ها در كمال اهميت است و ظاهراً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به لحاظ تاريخي آخرين منظومه عطار بشمار مي‏آيد.[6] اين منظومه مفصل ترين منظومه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عطار نيز هست. مصيبت نامه داستان سيري است روحاني كه در آن از روح به سالك فكرت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تعبير شده است. اين سالك به راهنمايي پير به سير آفاق و انفس مي‏پردازد و سلوك خود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را از عالم غيب آغاز مي‏كند. نخست نزد جبرئيل مي‏رود. سپس نزد ملائكه مقرب و حَمَلة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عرش و آسمانها و عناصر اربعه و كوه و جماد و نبات و وحوش و طيور و جن و انس مي‏رود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و ماجراي خود را بيان مي‏كند، اما هر بار نوميد به نزد پير باز مي‏گردد. پس از آن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سالك فكرت سلوك خود را در مرتبه انبياء ادامه مي‏دهد و مشكل خويش را نزد حضرت آدم،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نوح، ابراهيم، موسي، داود، عيسي و حضرت محمد(ص) مي‏برد. حضرت محمد(ص) اسرار فقر را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به او مي‏آموزد و او را به طي مراحل سير انفس يعني پنج وادي حس، خيال، عقل، دل و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جان دلالت مي‏كند. بدين ترتيب طي مراحل آفاقي و انفسي سالك فكرت به پايان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مي‏رسد.</w:t>
      </w: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  <w:lang w:bidi="fa-IR"/>
        </w:rPr>
      </w:pPr>
      <w:r w:rsidRPr="004A5686">
        <w:rPr>
          <w:rFonts w:ascii="Tahoma" w:hAnsi="Tahoma" w:cs="Nazanin"/>
          <w:b/>
          <w:bCs/>
          <w:sz w:val="30"/>
          <w:szCs w:val="30"/>
          <w:rtl/>
        </w:rPr>
        <w:t>اسرارنامه كوتاهترين منظومه عطار است. مشتمل بر 98 حكايت كه در 22 مقاله بيان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شده است. در اين منظومه عطار بر خلاف ساير مثنوي هايش حكايت هاي كوتاه فرعي را در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ضمن يك حكايت جامع نياورده بلكه آنها را به صورت مقاله ها و خطابه هاي جداگانه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تنظيم كرده است كه هر يك شامل حكايتها و تمثيل‏هايي است و از اين نظر بي شباهت به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حديقة الحقيقه سنايي و مخزن الاسرار نظامي نيست.</w:t>
      </w: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</w:rPr>
      </w:pPr>
      <w:r w:rsidRPr="004A5686">
        <w:rPr>
          <w:rFonts w:ascii="Tahoma" w:hAnsi="Tahoma" w:cs="Nazanin"/>
          <w:b/>
          <w:bCs/>
          <w:sz w:val="30"/>
          <w:szCs w:val="30"/>
          <w:rtl/>
        </w:rPr>
        <w:lastRenderedPageBreak/>
        <w:t>در اينجا مجالي فراهم آمده است تا به زن و جايگاه او در زمانه عطار بپردازيم و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ببينيم ديدگاه اين شيخ روشنفكر قرن ششم در مورد زنان چه بوده است و در مجموعه آثارش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به كدام دسته از زنان توجه بيشتري داشته و تعبير او از زن و هويت انساني و نقش او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در جامعه چگونه بوده است</w:t>
      </w:r>
      <w:r w:rsidRPr="004A5686">
        <w:rPr>
          <w:rFonts w:ascii="Tahoma" w:hAnsi="Tahoma" w:cs="Nazanin"/>
          <w:b/>
          <w:bCs/>
          <w:sz w:val="30"/>
          <w:szCs w:val="30"/>
        </w:rPr>
        <w:t>.</w:t>
      </w: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</w:rPr>
      </w:pPr>
      <w:r w:rsidRPr="004A5686">
        <w:rPr>
          <w:rFonts w:ascii="Tahoma" w:hAnsi="Tahoma" w:cs="Nazanin"/>
          <w:b/>
          <w:bCs/>
          <w:sz w:val="30"/>
          <w:szCs w:val="30"/>
        </w:rPr>
        <w:t>«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عطار به احتمال قوي همسر و فرزنداني داشته، اما اسناد مستقيم زندگي او در اين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 xml:space="preserve">باره اطلاع روشني به دست </w:t>
      </w:r>
      <w:proofErr w:type="gramStart"/>
      <w:r w:rsidRPr="004A5686">
        <w:rPr>
          <w:rFonts w:ascii="Tahoma" w:hAnsi="Tahoma" w:cs="Nazanin"/>
          <w:b/>
          <w:bCs/>
          <w:sz w:val="30"/>
          <w:szCs w:val="30"/>
          <w:rtl/>
        </w:rPr>
        <w:t>نمي‏دهد.»</w:t>
      </w:r>
      <w:proofErr w:type="gramEnd"/>
      <w:r w:rsidRPr="004A5686">
        <w:rPr>
          <w:rFonts w:ascii="Tahoma" w:hAnsi="Tahoma" w:cs="Nazanin"/>
          <w:b/>
          <w:bCs/>
          <w:sz w:val="30"/>
          <w:szCs w:val="30"/>
          <w:rtl/>
        </w:rPr>
        <w:t>[9] بديهي است كه عطار با التفاتي كه به چهره هاي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برتر زنان تاريخ ايران و اسلام و عرفان نشان مي‏دهد هويت انساني ـ اجتماعي زن را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كاملاً پذيرفته است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. </w:t>
      </w: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</w:rPr>
      </w:pPr>
      <w:r w:rsidRPr="004A5686">
        <w:rPr>
          <w:rFonts w:ascii="Tahoma" w:hAnsi="Tahoma" w:cs="Nazanin"/>
          <w:b/>
          <w:bCs/>
          <w:sz w:val="30"/>
          <w:szCs w:val="30"/>
          <w:rtl/>
        </w:rPr>
        <w:t>زنان آثار عطار، رسالت هاي چندگانه‏اي را ايفا مي‏كنند. زن در نقش همسر، زن در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نقش مادر، زن مظهر عشق و دلدادگي، زن مظهر پارسايي و توكل، زن مظهر زهد و پرهيزكاري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و زن مظهر خردمندي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. </w:t>
      </w: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</w:rPr>
      </w:pPr>
      <w:r w:rsidRPr="004A5686">
        <w:rPr>
          <w:rFonts w:ascii="Tahoma" w:hAnsi="Tahoma" w:cs="Nazanin"/>
          <w:b/>
          <w:bCs/>
          <w:sz w:val="30"/>
          <w:szCs w:val="30"/>
          <w:rtl/>
        </w:rPr>
        <w:t>جدول زير نام چهره هاي شاخص زنان و شماره تعداد حكاياتي را كه نام آنها در آن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ذكر شده نشان مي‏دهد</w:t>
      </w:r>
      <w:r w:rsidRPr="004A5686">
        <w:rPr>
          <w:rFonts w:ascii="Tahoma" w:hAnsi="Tahoma" w:cs="Nazanin"/>
          <w:b/>
          <w:bCs/>
          <w:sz w:val="30"/>
          <w:szCs w:val="30"/>
        </w:rPr>
        <w:t>. </w:t>
      </w: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</w:rPr>
      </w:pPr>
      <w:r w:rsidRPr="004A5686">
        <w:rPr>
          <w:rFonts w:ascii="Tahoma" w:hAnsi="Tahoma" w:cs="Nazanin"/>
          <w:b/>
          <w:bCs/>
          <w:sz w:val="30"/>
          <w:szCs w:val="30"/>
          <w:rtl/>
        </w:rPr>
        <w:t>همانگونه كه ملاحظه مي‏كنيد حكايات مربوط به ليلي 27 مورد، رابعه عدويه 9 مورد،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زليخا 6 مورد، فاطمه(س) 5 مورد، مريم و زبيده و حوا و ام هاني و زين‏العرب (رابعه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قزداري) هم هر يك، يك يا دو حكايت را به خود اختصاص داده‏اند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. </w:t>
      </w: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</w:rPr>
      </w:pPr>
      <w:r w:rsidRPr="004A5686">
        <w:rPr>
          <w:rFonts w:ascii="Tahoma" w:hAnsi="Tahoma" w:cs="Nazanin"/>
          <w:b/>
          <w:bCs/>
          <w:sz w:val="30"/>
          <w:szCs w:val="30"/>
          <w:rtl/>
        </w:rPr>
        <w:t>از تكرار فراوان نام ليلي و رابعه و زليخا معلوم مي شود كه دو دسته زنان عارف و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عاشق مهم‏ترين گروههاي زنان مورد نظر عطار هستند. ليلي و زليخا دو سمبل اسطوره‏اي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 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عشق و رابعه چهره زاهدانه تقوي و پرهيزكاري</w:t>
      </w:r>
      <w:r w:rsidRPr="004A5686">
        <w:rPr>
          <w:rFonts w:ascii="Tahoma" w:hAnsi="Tahoma" w:cs="Nazanin"/>
          <w:b/>
          <w:bCs/>
          <w:sz w:val="30"/>
          <w:szCs w:val="30"/>
        </w:rPr>
        <w:t>.</w:t>
      </w: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</w:rPr>
      </w:pPr>
      <w:r w:rsidRPr="004A5686">
        <w:rPr>
          <w:rFonts w:ascii="Tahoma" w:hAnsi="Tahoma" w:cs="Nazanin"/>
          <w:b/>
          <w:bCs/>
          <w:sz w:val="30"/>
          <w:szCs w:val="30"/>
          <w:rtl/>
        </w:rPr>
        <w:lastRenderedPageBreak/>
        <w:t>عشق و زن در آثار عطار</w:t>
      </w: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</w:rPr>
      </w:pPr>
      <w:r w:rsidRPr="004A5686">
        <w:rPr>
          <w:rFonts w:ascii="Tahoma" w:hAnsi="Tahoma" w:cs="Nazanin"/>
          <w:b/>
          <w:bCs/>
          <w:sz w:val="30"/>
          <w:szCs w:val="30"/>
        </w:rPr>
        <w:t xml:space="preserve">              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بيا اي مرد اگر با ما رفيقي</w:t>
      </w: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  <w:lang w:bidi="fa-IR"/>
        </w:rPr>
      </w:pPr>
      <w:r w:rsidRPr="004A5686">
        <w:rPr>
          <w:rFonts w:ascii="Tahoma" w:hAnsi="Tahoma" w:cs="Nazanin"/>
          <w:b/>
          <w:bCs/>
          <w:sz w:val="30"/>
          <w:szCs w:val="30"/>
        </w:rPr>
        <w:t xml:space="preserve">                                       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بياموز از زني عشقي حقيقي</w:t>
      </w: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  <w:rtl/>
        </w:rPr>
      </w:pPr>
      <w:r w:rsidRPr="004A5686">
        <w:rPr>
          <w:rFonts w:ascii="Tahoma" w:hAnsi="Tahoma" w:cs="Nazanin"/>
          <w:b/>
          <w:bCs/>
          <w:sz w:val="30"/>
          <w:szCs w:val="30"/>
          <w:rtl/>
        </w:rPr>
        <w:t>غير از داستانهاي ليلي و مجنون و يوسف و زليخا كه از داستانهاي مشهور ادب فارسي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است، داستان زين‏العرب و بكتاش كه در الهي نامه آمده است از جمله داستانهاي خواندني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و جالب عطار است. اين داستان كه نمونه عشق عذري و پاك عشاق است، مظهر و مثال عشق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آرماني، الهي و پاك است. عشق، بي شائبه شهوت و آلودگي جسماني و نفساني. داستان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زين‏العرب كه در الهي نامه آمده است همان داستان رابعه بنت كعب قزداري است كه از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شاعران مشهور قرن چهارم هجري است. عوفي گفته است كه او بر نظم تازي و فارسي هر دو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دست داشته است.[11]جامي هم در نفحات الانس از قول ابوسعيد ابي الخير گفته است كه</w:t>
      </w:r>
      <w:r w:rsidRPr="004A5686">
        <w:rPr>
          <w:rFonts w:ascii="Tahoma" w:hAnsi="Tahoma" w:cs="Nazanin"/>
          <w:b/>
          <w:bCs/>
          <w:sz w:val="30"/>
          <w:szCs w:val="30"/>
        </w:rPr>
        <w:t>: «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دختر كعب عاشق بود بر آن غلام. اما پيران همه اتفاق كردند كه اين سخن كه او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مي‏گويد نه آن سخن باشد كه بر مخلوق توان گفت. او را جاي ديگر كار افتاده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بود.»</w:t>
      </w:r>
    </w:p>
    <w:p w:rsidR="004A5686" w:rsidRPr="004A5686" w:rsidRDefault="004A5686" w:rsidP="004A5686">
      <w:pPr>
        <w:spacing w:line="360" w:lineRule="auto"/>
        <w:jc w:val="both"/>
        <w:rPr>
          <w:rFonts w:ascii="Tahoma" w:hAnsi="Tahoma" w:cs="Nazanin"/>
          <w:b/>
          <w:bCs/>
          <w:sz w:val="30"/>
          <w:szCs w:val="30"/>
        </w:rPr>
      </w:pPr>
      <w:r w:rsidRPr="004A5686">
        <w:rPr>
          <w:rFonts w:ascii="Tahoma" w:hAnsi="Tahoma" w:cs="Nazanin"/>
          <w:b/>
          <w:bCs/>
          <w:sz w:val="30"/>
          <w:szCs w:val="30"/>
          <w:rtl/>
        </w:rPr>
        <w:t>زين‏العرب (رابعه) دختر كعب از پادشاهان بلخ است. كعب هنگام مرگ دختر را به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برادر وي حارث مي‏سپارد و به او سفارش مي‏كند كه همسري شايسته براي وي برگزيند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.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زين‏العرب در زيبايي چهره تمام بود و اين خوبرويي او با لطافت روح و طبع آميزگاري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 </w:t>
      </w:r>
      <w:r w:rsidRPr="004A5686">
        <w:rPr>
          <w:rFonts w:ascii="Tahoma" w:hAnsi="Tahoma" w:cs="Nazanin"/>
          <w:b/>
          <w:bCs/>
          <w:sz w:val="30"/>
          <w:szCs w:val="30"/>
          <w:rtl/>
        </w:rPr>
        <w:t>داشت. او شعر مي‏سرود و قوت تمام در شاعري داشت</w:t>
      </w:r>
      <w:r w:rsidRPr="004A5686">
        <w:rPr>
          <w:rFonts w:ascii="Tahoma" w:hAnsi="Tahoma" w:cs="Nazanin"/>
          <w:b/>
          <w:bCs/>
          <w:sz w:val="30"/>
          <w:szCs w:val="30"/>
        </w:rPr>
        <w:t xml:space="preserve">: </w:t>
      </w:r>
    </w:p>
    <w:p w:rsidR="00790D62" w:rsidRPr="004A5686" w:rsidRDefault="00790D62"/>
    <w:sectPr w:rsidR="00790D62" w:rsidRPr="004A5686" w:rsidSect="002F7E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5686"/>
    <w:rsid w:val="002F7E46"/>
    <w:rsid w:val="004A5686"/>
    <w:rsid w:val="00570CB8"/>
    <w:rsid w:val="00790D62"/>
    <w:rsid w:val="00D17380"/>
    <w:rsid w:val="00D5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DAC5"/>
  <w15:docId w15:val="{FE0416A5-E5B1-43FF-8009-1C2B0793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A56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4A5686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A5686"/>
    <w:rPr>
      <w:rFonts w:ascii="Times New Roman" w:eastAsia="Times New Roman" w:hAnsi="Times New Roman" w:cs="B Titr"/>
      <w:sz w:val="34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86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2015-09-30T16:28:00Z</dcterms:created>
  <dcterms:modified xsi:type="dcterms:W3CDTF">2016-10-14T07:35:00Z</dcterms:modified>
</cp:coreProperties>
</file>