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01" w:rsidRDefault="007B1801" w:rsidP="007B1801">
      <w:pPr>
        <w:pStyle w:val="Heading6"/>
        <w:spacing w:line="268"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7B1801" w:rsidRPr="00BE71D6" w:rsidRDefault="007B1801" w:rsidP="007B1801">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7B1801" w:rsidRDefault="007B1801" w:rsidP="007B1801">
      <w:pPr>
        <w:pStyle w:val="Heading6"/>
        <w:spacing w:line="240" w:lineRule="auto"/>
        <w:rPr>
          <w:sz w:val="40"/>
          <w:szCs w:val="40"/>
          <w:rtl/>
          <w:lang w:bidi="fa-IR"/>
        </w:rPr>
      </w:pPr>
    </w:p>
    <w:p w:rsidR="007B1801" w:rsidRDefault="007B1801" w:rsidP="007B1801">
      <w:pPr>
        <w:pStyle w:val="Heading6"/>
        <w:spacing w:line="240" w:lineRule="auto"/>
        <w:rPr>
          <w:sz w:val="40"/>
          <w:szCs w:val="40"/>
          <w:rtl/>
          <w:lang w:bidi="fa-IR"/>
        </w:rPr>
      </w:pPr>
    </w:p>
    <w:p w:rsidR="007B1801" w:rsidRDefault="007B1801" w:rsidP="007B1801">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7B1801" w:rsidRDefault="007B1801" w:rsidP="007B1801">
      <w:pPr>
        <w:pStyle w:val="Heading6"/>
        <w:spacing w:line="240" w:lineRule="auto"/>
        <w:rPr>
          <w:sz w:val="40"/>
          <w:szCs w:val="40"/>
          <w:rtl/>
          <w:lang w:bidi="fa-IR"/>
        </w:rPr>
      </w:pPr>
      <w:r>
        <w:rPr>
          <w:rFonts w:hint="cs"/>
          <w:sz w:val="40"/>
          <w:szCs w:val="40"/>
          <w:rtl/>
          <w:lang w:bidi="fa-IR"/>
        </w:rPr>
        <w:t xml:space="preserve"> واحد تهران مرکز</w:t>
      </w:r>
    </w:p>
    <w:p w:rsidR="007B1801" w:rsidRDefault="007B1801" w:rsidP="007B1801">
      <w:pPr>
        <w:jc w:val="center"/>
        <w:rPr>
          <w:rFonts w:cs="B Titr"/>
          <w:b/>
          <w:bCs/>
          <w:sz w:val="38"/>
          <w:szCs w:val="38"/>
          <w:rtl/>
          <w:lang w:bidi="fa-IR"/>
        </w:rPr>
      </w:pPr>
    </w:p>
    <w:p w:rsidR="007B1801" w:rsidRDefault="007B1801" w:rsidP="007B1801">
      <w:pPr>
        <w:jc w:val="center"/>
        <w:rPr>
          <w:rFonts w:cs="B Titr"/>
          <w:b/>
          <w:bCs/>
          <w:sz w:val="42"/>
          <w:szCs w:val="42"/>
          <w:rtl/>
          <w:lang w:bidi="fa-IR"/>
        </w:rPr>
      </w:pPr>
    </w:p>
    <w:p w:rsidR="007B1801" w:rsidRDefault="007B1801" w:rsidP="007B1801">
      <w:pPr>
        <w:jc w:val="center"/>
        <w:rPr>
          <w:rFonts w:cs="B Titr"/>
          <w:b/>
          <w:bCs/>
          <w:sz w:val="42"/>
          <w:szCs w:val="42"/>
          <w:rtl/>
          <w:lang w:bidi="fa-IR"/>
        </w:rPr>
      </w:pPr>
      <w:r>
        <w:rPr>
          <w:rFonts w:cs="B Titr" w:hint="cs"/>
          <w:b/>
          <w:bCs/>
          <w:sz w:val="42"/>
          <w:szCs w:val="42"/>
          <w:rtl/>
          <w:lang w:bidi="fa-IR"/>
        </w:rPr>
        <w:t>موضوع:</w:t>
      </w:r>
    </w:p>
    <w:p w:rsidR="007B1801" w:rsidRPr="0003367E" w:rsidRDefault="007B1801" w:rsidP="007B1801">
      <w:pPr>
        <w:jc w:val="center"/>
        <w:rPr>
          <w:rFonts w:cs="B Jadid"/>
          <w:b/>
          <w:bCs/>
          <w:sz w:val="30"/>
          <w:szCs w:val="30"/>
          <w:rtl/>
          <w:lang w:bidi="fa-IR"/>
        </w:rPr>
      </w:pPr>
    </w:p>
    <w:p w:rsidR="007B1801" w:rsidRPr="0003367E" w:rsidRDefault="007B1801" w:rsidP="007B1801">
      <w:pPr>
        <w:jc w:val="center"/>
        <w:rPr>
          <w:rFonts w:cs="B Jadid"/>
          <w:b/>
          <w:bCs/>
          <w:sz w:val="46"/>
          <w:szCs w:val="46"/>
          <w:rtl/>
          <w:lang w:bidi="fa-IR"/>
        </w:rPr>
      </w:pPr>
      <w:r w:rsidRPr="007B1801">
        <w:rPr>
          <w:rFonts w:cs="B Jadid"/>
          <w:b/>
          <w:bCs/>
          <w:sz w:val="46"/>
          <w:szCs w:val="46"/>
          <w:rtl/>
          <w:lang w:bidi="fa-IR"/>
        </w:rPr>
        <w:t>سازمان و تشک</w:t>
      </w:r>
      <w:r w:rsidRPr="007B1801">
        <w:rPr>
          <w:rFonts w:cs="B Jadid" w:hint="cs"/>
          <w:b/>
          <w:bCs/>
          <w:sz w:val="46"/>
          <w:szCs w:val="46"/>
          <w:rtl/>
          <w:lang w:bidi="fa-IR"/>
        </w:rPr>
        <w:t>ی</w:t>
      </w:r>
      <w:r w:rsidRPr="007B1801">
        <w:rPr>
          <w:rFonts w:cs="B Jadid" w:hint="eastAsia"/>
          <w:b/>
          <w:bCs/>
          <w:sz w:val="46"/>
          <w:szCs w:val="46"/>
          <w:rtl/>
          <w:lang w:bidi="fa-IR"/>
        </w:rPr>
        <w:t>لات</w:t>
      </w:r>
      <w:r w:rsidRPr="007B1801">
        <w:rPr>
          <w:rFonts w:cs="B Jadid"/>
          <w:b/>
          <w:bCs/>
          <w:sz w:val="46"/>
          <w:szCs w:val="46"/>
          <w:rtl/>
          <w:lang w:bidi="fa-IR"/>
        </w:rPr>
        <w:t xml:space="preserve"> صندوق ب</w:t>
      </w:r>
      <w:r w:rsidRPr="007B1801">
        <w:rPr>
          <w:rFonts w:cs="B Jadid" w:hint="cs"/>
          <w:b/>
          <w:bCs/>
          <w:sz w:val="46"/>
          <w:szCs w:val="46"/>
          <w:rtl/>
          <w:lang w:bidi="fa-IR"/>
        </w:rPr>
        <w:t>ی</w:t>
      </w:r>
      <w:r w:rsidRPr="007B1801">
        <w:rPr>
          <w:rFonts w:cs="B Jadid" w:hint="eastAsia"/>
          <w:b/>
          <w:bCs/>
          <w:sz w:val="46"/>
          <w:szCs w:val="46"/>
          <w:rtl/>
          <w:lang w:bidi="fa-IR"/>
        </w:rPr>
        <w:t>ن‌الملل</w:t>
      </w:r>
      <w:r w:rsidRPr="007B1801">
        <w:rPr>
          <w:rFonts w:cs="B Jadid" w:hint="cs"/>
          <w:b/>
          <w:bCs/>
          <w:sz w:val="46"/>
          <w:szCs w:val="46"/>
          <w:rtl/>
          <w:lang w:bidi="fa-IR"/>
        </w:rPr>
        <w:t>ی</w:t>
      </w:r>
      <w:r w:rsidRPr="007B1801">
        <w:rPr>
          <w:rFonts w:cs="B Jadid"/>
          <w:b/>
          <w:bCs/>
          <w:sz w:val="46"/>
          <w:szCs w:val="46"/>
          <w:rtl/>
          <w:lang w:bidi="fa-IR"/>
        </w:rPr>
        <w:t xml:space="preserve"> پول</w:t>
      </w:r>
    </w:p>
    <w:bookmarkEnd w:id="0"/>
    <w:p w:rsidR="007B1801" w:rsidRDefault="007B1801" w:rsidP="007B1801">
      <w:pPr>
        <w:rPr>
          <w:rtl/>
          <w:lang w:bidi="fa-IR"/>
        </w:rPr>
      </w:pPr>
    </w:p>
    <w:p w:rsidR="002815A4" w:rsidRDefault="002815A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pPr>
        <w:rPr>
          <w:rFonts w:hint="cs"/>
          <w:rtl/>
          <w:lang w:bidi="fa-IR"/>
        </w:rPr>
      </w:pPr>
    </w:p>
    <w:p w:rsidR="005C7174" w:rsidRDefault="005C7174" w:rsidP="005C7174">
      <w:pPr>
        <w:tabs>
          <w:tab w:val="left" w:leader="dot" w:pos="7371"/>
        </w:tabs>
        <w:spacing w:line="360" w:lineRule="auto"/>
        <w:jc w:val="center"/>
        <w:rPr>
          <w:rFonts w:cs="B Titr"/>
          <w:lang w:bidi="fa-IR"/>
        </w:rPr>
      </w:pPr>
      <w:r>
        <w:rPr>
          <w:rFonts w:cs="B Titr" w:hint="cs"/>
          <w:rtl/>
          <w:lang w:bidi="fa-IR"/>
        </w:rPr>
        <w:t>فهرست مطالب</w:t>
      </w:r>
    </w:p>
    <w:p w:rsidR="005C7174" w:rsidRDefault="005C7174" w:rsidP="005C7174">
      <w:pPr>
        <w:tabs>
          <w:tab w:val="left" w:leader="dot" w:pos="7216"/>
        </w:tabs>
        <w:spacing w:line="360" w:lineRule="auto"/>
        <w:jc w:val="lowKashida"/>
        <w:rPr>
          <w:rFonts w:cs="B Titr" w:hint="cs"/>
          <w:rtl/>
          <w:lang w:bidi="fa-IR"/>
        </w:rPr>
      </w:pPr>
      <w:r>
        <w:rPr>
          <w:rFonts w:cs="B Titr" w:hint="cs"/>
          <w:rtl/>
          <w:lang w:bidi="fa-IR"/>
        </w:rPr>
        <w:t>عنوان</w:t>
      </w:r>
      <w:r>
        <w:rPr>
          <w:rFonts w:cs="B Titr" w:hint="cs"/>
          <w:color w:val="FFFFFF"/>
          <w:rtl/>
          <w:lang w:bidi="fa-IR"/>
        </w:rPr>
        <w:tab/>
      </w:r>
      <w:r>
        <w:rPr>
          <w:rFonts w:cs="B Titr" w:hint="cs"/>
          <w:rtl/>
          <w:lang w:bidi="fa-IR"/>
        </w:rPr>
        <w:t xml:space="preserve"> صفحه </w:t>
      </w:r>
    </w:p>
    <w:p w:rsidR="005C7174" w:rsidRDefault="005C7174" w:rsidP="005C7174">
      <w:pPr>
        <w:tabs>
          <w:tab w:val="left" w:leader="dot" w:pos="7371"/>
        </w:tabs>
        <w:spacing w:line="360" w:lineRule="auto"/>
        <w:jc w:val="lowKashida"/>
        <w:rPr>
          <w:rFonts w:cs="B Yagut" w:hint="cs"/>
          <w:rtl/>
          <w:lang w:bidi="fa-IR"/>
        </w:rPr>
      </w:pPr>
      <w:r>
        <w:rPr>
          <w:rFonts w:hint="cs"/>
          <w:rtl/>
          <w:lang w:bidi="fa-IR"/>
        </w:rPr>
        <w:t xml:space="preserve">بخش اول: سازمان و تشکیلات صندوق بین‌المللی پول </w:t>
      </w:r>
      <w:r>
        <w:rPr>
          <w:rFonts w:hint="cs"/>
          <w:rtl/>
          <w:lang w:bidi="fa-IR"/>
        </w:rPr>
        <w:tab/>
        <w:t>4</w:t>
      </w:r>
    </w:p>
    <w:p w:rsidR="005C7174" w:rsidRDefault="005C7174" w:rsidP="005C7174">
      <w:pPr>
        <w:tabs>
          <w:tab w:val="left" w:leader="dot" w:pos="7371"/>
        </w:tabs>
        <w:spacing w:line="360" w:lineRule="auto"/>
        <w:jc w:val="lowKashida"/>
        <w:rPr>
          <w:rFonts w:hint="cs"/>
          <w:rtl/>
          <w:lang w:bidi="fa-IR"/>
        </w:rPr>
      </w:pPr>
      <w:r>
        <w:rPr>
          <w:rFonts w:hint="cs"/>
          <w:rtl/>
          <w:lang w:bidi="fa-IR"/>
        </w:rPr>
        <w:t>فصل اول: کلیات</w:t>
      </w:r>
      <w:r>
        <w:rPr>
          <w:rFonts w:hint="cs"/>
          <w:rtl/>
          <w:lang w:bidi="fa-IR"/>
        </w:rPr>
        <w:tab/>
        <w:t>4</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بنداول: سند تاسیس صندوق و ماهیت حقوقی آن</w:t>
      </w:r>
      <w:r>
        <w:rPr>
          <w:rFonts w:hint="cs"/>
          <w:rtl/>
          <w:lang w:bidi="fa-IR"/>
        </w:rPr>
        <w:tab/>
        <w:t>4</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دوم: ماهیت حقوقی صندوق</w:t>
      </w:r>
      <w:r>
        <w:rPr>
          <w:rFonts w:hint="cs"/>
          <w:rtl/>
          <w:lang w:bidi="fa-IR"/>
        </w:rPr>
        <w:tab/>
        <w:t>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سوم: اهداف صندوق</w:t>
      </w:r>
      <w:r>
        <w:rPr>
          <w:rFonts w:hint="cs"/>
          <w:rtl/>
          <w:lang w:bidi="fa-IR"/>
        </w:rPr>
        <w:tab/>
        <w:t>10</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چهارم: وظایف صندوق</w:t>
      </w:r>
      <w:r>
        <w:rPr>
          <w:rFonts w:hint="cs"/>
          <w:rtl/>
          <w:lang w:bidi="fa-IR"/>
        </w:rPr>
        <w:tab/>
        <w:t>11</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پنجم: عضویت در صندوق</w:t>
      </w:r>
      <w:r>
        <w:rPr>
          <w:rFonts w:hint="cs"/>
          <w:rtl/>
          <w:lang w:bidi="fa-IR"/>
        </w:rPr>
        <w:tab/>
        <w:t>16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الف) اعضاء صندوق و سهمیه یا حق عضویت</w:t>
      </w:r>
      <w:r>
        <w:rPr>
          <w:rFonts w:hint="cs"/>
          <w:rtl/>
          <w:lang w:bidi="fa-IR"/>
        </w:rPr>
        <w:tab/>
        <w:t>16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 حق رای اعضاء در صندوق</w:t>
      </w:r>
      <w:r>
        <w:rPr>
          <w:rFonts w:hint="cs"/>
          <w:rtl/>
          <w:lang w:bidi="fa-IR"/>
        </w:rPr>
        <w:tab/>
        <w:t>20</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ج) تعهدات اعضاء به صندوق</w:t>
      </w:r>
      <w:r>
        <w:rPr>
          <w:rFonts w:hint="cs"/>
          <w:rtl/>
          <w:lang w:bidi="fa-IR"/>
        </w:rPr>
        <w:tab/>
        <w:t>22</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اول- تعهدات خاص</w:t>
      </w:r>
      <w:r>
        <w:rPr>
          <w:rFonts w:hint="cs"/>
          <w:rtl/>
          <w:lang w:bidi="fa-IR"/>
        </w:rPr>
        <w:tab/>
        <w:t>22</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دوم- تعهدات عام</w:t>
      </w:r>
      <w:r>
        <w:rPr>
          <w:rFonts w:hint="cs"/>
          <w:rtl/>
          <w:lang w:bidi="fa-IR"/>
        </w:rPr>
        <w:tab/>
        <w:t>23</w:t>
      </w:r>
    </w:p>
    <w:p w:rsidR="005C7174" w:rsidRDefault="005C7174" w:rsidP="005C7174">
      <w:pPr>
        <w:tabs>
          <w:tab w:val="left" w:leader="dot" w:pos="7371"/>
        </w:tabs>
        <w:spacing w:line="360" w:lineRule="auto"/>
        <w:jc w:val="lowKashida"/>
        <w:rPr>
          <w:rFonts w:hint="cs"/>
          <w:rtl/>
          <w:lang w:bidi="fa-IR"/>
        </w:rPr>
      </w:pPr>
      <w:r>
        <w:rPr>
          <w:rFonts w:hint="cs"/>
          <w:rtl/>
          <w:lang w:bidi="fa-IR"/>
        </w:rPr>
        <w:t>فصل دوم: ارکان صندوق</w:t>
      </w:r>
      <w:r>
        <w:rPr>
          <w:rFonts w:hint="cs"/>
          <w:rtl/>
          <w:lang w:bidi="fa-IR"/>
        </w:rPr>
        <w:tab/>
        <w:t>26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اول: ارکان اصلی</w:t>
      </w:r>
      <w:r>
        <w:rPr>
          <w:rFonts w:hint="cs"/>
          <w:rtl/>
          <w:lang w:bidi="fa-IR"/>
        </w:rPr>
        <w:tab/>
        <w:t>26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الف) هیئت رئیسه</w:t>
      </w:r>
      <w:r>
        <w:rPr>
          <w:rFonts w:hint="cs"/>
          <w:rtl/>
          <w:lang w:bidi="fa-IR"/>
        </w:rPr>
        <w:tab/>
        <w:t>26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 هیئت اجرایی</w:t>
      </w:r>
      <w:r>
        <w:rPr>
          <w:rFonts w:hint="cs"/>
          <w:rtl/>
          <w:lang w:bidi="fa-IR"/>
        </w:rPr>
        <w:tab/>
        <w:t>28</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ج) مدیرعامل صندوق و کارکنان</w:t>
      </w:r>
      <w:r>
        <w:rPr>
          <w:rFonts w:hint="cs"/>
          <w:rtl/>
          <w:lang w:bidi="fa-IR"/>
        </w:rPr>
        <w:tab/>
        <w:t>30</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د) ادارات و دوایر صندوق</w:t>
      </w:r>
      <w:r>
        <w:rPr>
          <w:rFonts w:hint="cs"/>
          <w:rtl/>
          <w:lang w:bidi="fa-IR"/>
        </w:rPr>
        <w:tab/>
        <w:t>31</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دوم: ارکان فرعی</w:t>
      </w:r>
      <w:r>
        <w:rPr>
          <w:rFonts w:hint="cs"/>
          <w:rtl/>
          <w:lang w:bidi="fa-IR"/>
        </w:rPr>
        <w:tab/>
        <w:t>34</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الف) کمیته موقت</w:t>
      </w:r>
      <w:r>
        <w:rPr>
          <w:rFonts w:hint="cs"/>
          <w:rtl/>
          <w:lang w:bidi="fa-IR"/>
        </w:rPr>
        <w:tab/>
        <w:t>34</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 کمیته توسعه</w:t>
      </w:r>
      <w:r>
        <w:rPr>
          <w:rFonts w:hint="cs"/>
          <w:rtl/>
          <w:lang w:bidi="fa-IR"/>
        </w:rPr>
        <w:tab/>
        <w:t>36</w:t>
      </w:r>
    </w:p>
    <w:p w:rsidR="005C7174" w:rsidRDefault="005C7174" w:rsidP="005C7174">
      <w:pPr>
        <w:tabs>
          <w:tab w:val="left" w:leader="dot" w:pos="7371"/>
        </w:tabs>
        <w:spacing w:line="360" w:lineRule="auto"/>
        <w:jc w:val="lowKashida"/>
        <w:rPr>
          <w:rFonts w:hint="cs"/>
          <w:rtl/>
          <w:lang w:bidi="fa-IR"/>
        </w:rPr>
      </w:pPr>
      <w:r>
        <w:rPr>
          <w:rFonts w:hint="cs"/>
          <w:rtl/>
          <w:lang w:bidi="fa-IR"/>
        </w:rPr>
        <w:t xml:space="preserve">بخش دوم: منابع و فعالیت‌های صندوق </w:t>
      </w:r>
      <w:r>
        <w:rPr>
          <w:rFonts w:hint="cs"/>
          <w:rtl/>
          <w:lang w:bidi="fa-IR"/>
        </w:rPr>
        <w:tab/>
        <w:t>38</w:t>
      </w:r>
    </w:p>
    <w:p w:rsidR="005C7174" w:rsidRDefault="005C7174" w:rsidP="005C7174">
      <w:pPr>
        <w:tabs>
          <w:tab w:val="left" w:leader="dot" w:pos="7371"/>
        </w:tabs>
        <w:spacing w:line="360" w:lineRule="auto"/>
        <w:jc w:val="lowKashida"/>
        <w:rPr>
          <w:rFonts w:hint="cs"/>
          <w:rtl/>
          <w:lang w:bidi="fa-IR"/>
        </w:rPr>
      </w:pPr>
      <w:r>
        <w:rPr>
          <w:rFonts w:hint="cs"/>
          <w:rtl/>
          <w:lang w:bidi="fa-IR"/>
        </w:rPr>
        <w:t xml:space="preserve">فصل سوم: منابع </w:t>
      </w:r>
      <w:r>
        <w:rPr>
          <w:rFonts w:hint="cs"/>
          <w:rtl/>
          <w:lang w:bidi="fa-IR"/>
        </w:rPr>
        <w:tab/>
        <w:t>38</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اول: منابع مالی و سرمایه صندوق</w:t>
      </w:r>
      <w:r>
        <w:rPr>
          <w:rFonts w:hint="cs"/>
          <w:rtl/>
          <w:lang w:bidi="fa-IR"/>
        </w:rPr>
        <w:tab/>
        <w:t>38</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دوم: وام‌های صندوق بین‌المللی پول و شرایط دستیابی به آن</w:t>
      </w:r>
      <w:r>
        <w:rPr>
          <w:rFonts w:hint="cs"/>
          <w:rtl/>
          <w:lang w:bidi="fa-IR"/>
        </w:rPr>
        <w:tab/>
        <w:t>40</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سوم: تسهیلات صندوق بین‌المللی پول</w:t>
      </w:r>
      <w:r>
        <w:rPr>
          <w:rFonts w:hint="cs"/>
          <w:rtl/>
          <w:lang w:bidi="fa-IR"/>
        </w:rPr>
        <w:tab/>
        <w:t>47</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الف) تسهیلات دائمی</w:t>
      </w:r>
      <w:r>
        <w:rPr>
          <w:rFonts w:hint="cs"/>
          <w:rtl/>
          <w:lang w:bidi="fa-IR"/>
        </w:rPr>
        <w:tab/>
        <w:t>47</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 xml:space="preserve">1- ترانش ذخیره </w:t>
      </w:r>
      <w:r>
        <w:rPr>
          <w:rFonts w:hint="cs"/>
          <w:rtl/>
          <w:lang w:bidi="fa-IR"/>
        </w:rPr>
        <w:tab/>
        <w:t>47</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2- ترانش اعتباری و قرارهای احتیاطی</w:t>
      </w:r>
      <w:r>
        <w:rPr>
          <w:rFonts w:hint="cs"/>
          <w:rtl/>
          <w:lang w:bidi="fa-IR"/>
        </w:rPr>
        <w:tab/>
        <w:t xml:space="preserve">47 </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 xml:space="preserve">3- تسهیلات مالی جبرانی </w:t>
      </w:r>
      <w:r>
        <w:rPr>
          <w:rFonts w:hint="cs"/>
          <w:rtl/>
          <w:lang w:bidi="fa-IR"/>
        </w:rPr>
        <w:tab/>
        <w:t>48</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lastRenderedPageBreak/>
        <w:t xml:space="preserve">4- تسهیلات تامین مالی ذخیره احتیاطی </w:t>
      </w:r>
      <w:r>
        <w:rPr>
          <w:rFonts w:hint="cs"/>
          <w:rtl/>
          <w:lang w:bidi="fa-IR"/>
        </w:rPr>
        <w:tab/>
        <w:t>50</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5- تسهیلات مالی گسترده</w:t>
      </w:r>
      <w:r>
        <w:rPr>
          <w:rFonts w:hint="cs"/>
          <w:rtl/>
          <w:lang w:bidi="fa-IR"/>
        </w:rPr>
        <w:tab/>
        <w:t>50</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6- تسهیلات تعدیل ساختاری</w:t>
      </w:r>
      <w:r>
        <w:rPr>
          <w:rFonts w:hint="cs"/>
          <w:rtl/>
          <w:lang w:bidi="fa-IR"/>
        </w:rPr>
        <w:tab/>
        <w:t>51</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 مکانیسم تسهیلات موقت</w:t>
      </w:r>
      <w:r>
        <w:rPr>
          <w:rFonts w:hint="cs"/>
          <w:rtl/>
          <w:lang w:bidi="fa-IR"/>
        </w:rPr>
        <w:tab/>
        <w:t xml:space="preserve">52 </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 xml:space="preserve">1- تسهیلات نفتی </w:t>
      </w:r>
      <w:r>
        <w:rPr>
          <w:rFonts w:hint="cs"/>
          <w:rtl/>
          <w:lang w:bidi="fa-IR"/>
        </w:rPr>
        <w:tab/>
        <w:t>52</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2- مکانیسم وتیوین</w:t>
      </w:r>
      <w:r>
        <w:rPr>
          <w:rFonts w:hint="cs"/>
          <w:rtl/>
          <w:lang w:bidi="fa-IR"/>
        </w:rPr>
        <w:tab/>
        <w:t>53</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 xml:space="preserve">ج) نرخ بهره و حق برداشت مخصوص </w:t>
      </w:r>
      <w:r>
        <w:rPr>
          <w:rFonts w:hint="cs"/>
          <w:rtl/>
          <w:lang w:bidi="fa-IR"/>
        </w:rPr>
        <w:tab/>
        <w:t>54</w:t>
      </w:r>
    </w:p>
    <w:p w:rsidR="005C7174" w:rsidRDefault="005C7174" w:rsidP="005C7174">
      <w:pPr>
        <w:tabs>
          <w:tab w:val="left" w:leader="dot" w:pos="7371"/>
        </w:tabs>
        <w:spacing w:line="360" w:lineRule="auto"/>
        <w:jc w:val="lowKashida"/>
        <w:rPr>
          <w:rFonts w:hint="cs"/>
          <w:rtl/>
          <w:lang w:bidi="fa-IR"/>
        </w:rPr>
      </w:pPr>
      <w:r>
        <w:rPr>
          <w:rFonts w:hint="cs"/>
          <w:rtl/>
          <w:lang w:bidi="fa-IR"/>
        </w:rPr>
        <w:t>فصل چهارم: فعالیت‌های صندوق</w:t>
      </w:r>
      <w:r>
        <w:rPr>
          <w:rFonts w:hint="cs"/>
          <w:rtl/>
          <w:lang w:bidi="fa-IR"/>
        </w:rPr>
        <w:tab/>
        <w:t>56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اول: معاملات صندوق</w:t>
      </w:r>
      <w:r>
        <w:rPr>
          <w:rFonts w:hint="cs"/>
          <w:rtl/>
          <w:lang w:bidi="fa-IR"/>
        </w:rPr>
        <w:tab/>
        <w:t>56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دوم: تعیین ارزش و نرخ برابری و نظارت بر ترتیبات ارزی</w:t>
      </w:r>
      <w:r>
        <w:rPr>
          <w:rFonts w:hint="cs"/>
          <w:rtl/>
          <w:lang w:bidi="fa-IR"/>
        </w:rPr>
        <w:tab/>
        <w:t>60</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سوم: خدمات صندوق</w:t>
      </w:r>
      <w:r>
        <w:rPr>
          <w:rFonts w:hint="cs"/>
          <w:rtl/>
          <w:lang w:bidi="fa-IR"/>
        </w:rPr>
        <w:tab/>
        <w:t>63</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الف) آموزش</w:t>
      </w:r>
      <w:r>
        <w:rPr>
          <w:rFonts w:hint="cs"/>
          <w:rtl/>
          <w:lang w:bidi="fa-IR"/>
        </w:rPr>
        <w:tab/>
        <w:t>63</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 xml:space="preserve">ب) کمک‌های فنی </w:t>
      </w:r>
      <w:r>
        <w:rPr>
          <w:rFonts w:hint="cs"/>
          <w:rtl/>
          <w:lang w:bidi="fa-IR"/>
        </w:rPr>
        <w:tab/>
        <w:t>64</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ج) انتشار و ارائه نشریات و گزارش‌ها</w:t>
      </w:r>
      <w:r>
        <w:rPr>
          <w:rFonts w:hint="cs"/>
          <w:rtl/>
          <w:lang w:bidi="fa-IR"/>
        </w:rPr>
        <w:tab/>
        <w:t>65</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بند چهارم: رابطه صندوق با بانک جهانی</w:t>
      </w:r>
      <w:r>
        <w:rPr>
          <w:rFonts w:hint="cs"/>
          <w:rtl/>
          <w:lang w:bidi="fa-IR"/>
        </w:rPr>
        <w:tab/>
        <w:t>66</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 xml:space="preserve">بند پنجم: رابطه ایران با صندوق بین‌المللی پول </w:t>
      </w:r>
      <w:r>
        <w:rPr>
          <w:rFonts w:hint="cs"/>
          <w:rtl/>
          <w:lang w:bidi="fa-IR"/>
        </w:rPr>
        <w:tab/>
        <w:t>68</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الف) مبانی قانونی و تاریخچه</w:t>
      </w:r>
      <w:r>
        <w:rPr>
          <w:rFonts w:hint="cs"/>
          <w:rtl/>
          <w:lang w:bidi="fa-IR"/>
        </w:rPr>
        <w:tab/>
        <w:t>68</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ب) وام‌های دریافتی ایران از صندوق</w:t>
      </w:r>
      <w:r>
        <w:rPr>
          <w:rFonts w:hint="cs"/>
          <w:rtl/>
          <w:lang w:bidi="fa-IR"/>
        </w:rPr>
        <w:tab/>
        <w:t>73</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ج) وضعیت سهمیه و نحوه پرداخت حق عضویت ایران</w:t>
      </w:r>
      <w:r>
        <w:rPr>
          <w:rFonts w:hint="cs"/>
          <w:rtl/>
          <w:lang w:bidi="fa-IR"/>
        </w:rPr>
        <w:tab/>
        <w:t>77</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د) محدودیت‌های ارزی در ایران</w:t>
      </w:r>
      <w:r>
        <w:rPr>
          <w:rFonts w:hint="cs"/>
          <w:rtl/>
          <w:lang w:bidi="fa-IR"/>
        </w:rPr>
        <w:tab/>
        <w:t>82</w:t>
      </w:r>
    </w:p>
    <w:p w:rsidR="005C7174" w:rsidRDefault="005C7174" w:rsidP="005C7174">
      <w:pPr>
        <w:tabs>
          <w:tab w:val="left" w:leader="dot" w:pos="7371"/>
        </w:tabs>
        <w:spacing w:line="360" w:lineRule="auto"/>
        <w:ind w:firstLine="720"/>
        <w:jc w:val="lowKashida"/>
        <w:rPr>
          <w:rFonts w:hint="cs"/>
          <w:rtl/>
          <w:lang w:bidi="fa-IR"/>
        </w:rPr>
      </w:pPr>
      <w:r>
        <w:rPr>
          <w:rFonts w:hint="cs"/>
          <w:rtl/>
          <w:lang w:bidi="fa-IR"/>
        </w:rPr>
        <w:t xml:space="preserve">بند ششم: روابط صندوق بین‌المللی پول با سازمان ملل متحد </w:t>
      </w:r>
      <w:r>
        <w:rPr>
          <w:rFonts w:hint="cs"/>
          <w:rtl/>
          <w:lang w:bidi="fa-IR"/>
        </w:rPr>
        <w:tab/>
        <w:t>85</w:t>
      </w:r>
    </w:p>
    <w:p w:rsidR="005C7174" w:rsidRPr="005C7174" w:rsidRDefault="005C7174" w:rsidP="005C7174">
      <w:pPr>
        <w:spacing w:line="360" w:lineRule="auto"/>
        <w:rPr>
          <w:rFonts w:cs="B Nazanin" w:hint="cs"/>
          <w:rtl/>
          <w:lang w:bidi="fa-IR"/>
        </w:rPr>
      </w:pPr>
      <w:r>
        <w:rPr>
          <w:rFonts w:hint="cs"/>
          <w:rtl/>
          <w:lang w:bidi="fa-IR"/>
        </w:rPr>
        <w:br w:type="page"/>
      </w:r>
      <w:r w:rsidRPr="005C7174">
        <w:rPr>
          <w:rFonts w:cs="B Nazanin" w:hint="cs"/>
          <w:rtl/>
          <w:lang w:bidi="fa-IR"/>
        </w:rPr>
        <w:lastRenderedPageBreak/>
        <w:t xml:space="preserve">بخش اول: سازمان و تشکیلات صندوق بین‌المللی پول </w:t>
      </w:r>
    </w:p>
    <w:p w:rsidR="005C7174" w:rsidRPr="005C7174" w:rsidRDefault="005C7174" w:rsidP="005C7174">
      <w:pPr>
        <w:spacing w:line="360" w:lineRule="auto"/>
        <w:rPr>
          <w:rFonts w:cs="B Nazanin" w:hint="cs"/>
          <w:rtl/>
          <w:lang w:bidi="fa-IR"/>
        </w:rPr>
      </w:pPr>
      <w:r w:rsidRPr="005C7174">
        <w:rPr>
          <w:rFonts w:cs="B Nazanin" w:hint="cs"/>
          <w:rtl/>
          <w:lang w:bidi="fa-IR"/>
        </w:rPr>
        <w:t>فصل اول- کلیات:</w:t>
      </w:r>
    </w:p>
    <w:p w:rsidR="005C7174" w:rsidRPr="005C7174" w:rsidRDefault="005C7174" w:rsidP="005C7174">
      <w:pPr>
        <w:spacing w:line="360" w:lineRule="auto"/>
        <w:rPr>
          <w:rFonts w:cs="B Nazanin" w:hint="cs"/>
          <w:rtl/>
          <w:lang w:bidi="fa-IR"/>
        </w:rPr>
      </w:pPr>
      <w:r w:rsidRPr="005C7174">
        <w:rPr>
          <w:rFonts w:cs="B Nazanin" w:hint="cs"/>
          <w:rtl/>
          <w:lang w:bidi="fa-IR"/>
        </w:rPr>
        <w:t xml:space="preserve">بند اول- اساسنامه صندوق و ماهیت حقوقی آن: </w:t>
      </w:r>
    </w:p>
    <w:p w:rsidR="005C7174" w:rsidRPr="005C7174" w:rsidRDefault="005C7174" w:rsidP="005C7174">
      <w:pPr>
        <w:spacing w:line="360" w:lineRule="auto"/>
        <w:rPr>
          <w:rFonts w:cs="B Nazanin" w:hint="cs"/>
          <w:rtl/>
          <w:lang w:bidi="fa-IR"/>
        </w:rPr>
      </w:pPr>
      <w:r w:rsidRPr="005C7174">
        <w:rPr>
          <w:rFonts w:cs="B Nazanin" w:hint="cs"/>
          <w:rtl/>
          <w:lang w:bidi="fa-IR"/>
        </w:rPr>
        <w:t>سند تاسیس صندوق بین‌المللی پول معاهده‌ای است که تحت عنوان موافقت‌نامه</w:t>
      </w:r>
      <w:r w:rsidRPr="005C7174">
        <w:rPr>
          <w:rStyle w:val="FootnoteReference"/>
          <w:rFonts w:cs="B Nazanin"/>
          <w:rtl/>
          <w:lang w:bidi="fa-IR"/>
        </w:rPr>
        <w:footnoteReference w:id="1"/>
      </w:r>
      <w:r w:rsidRPr="005C7174">
        <w:rPr>
          <w:rFonts w:cs="B Nazanin" w:hint="cs"/>
          <w:rtl/>
          <w:lang w:bidi="fa-IR"/>
        </w:rPr>
        <w:t xml:space="preserve"> در دسامبر 1945 به وسیله 29 دولت که روی هم‌رفته 80% سهام اولیه صندوق را داشتند امضاء و به موقع اجرا گذارده شد. ماده یک عهدنامه مربوط به حقوق معاهدات، واژه معاهده را چنین تعریف می‌کند: </w:t>
      </w:r>
    </w:p>
    <w:p w:rsidR="005C7174" w:rsidRPr="005C7174" w:rsidRDefault="005C7174" w:rsidP="005C7174">
      <w:pPr>
        <w:spacing w:line="360" w:lineRule="auto"/>
        <w:rPr>
          <w:rFonts w:cs="B Nazanin" w:hint="cs"/>
          <w:rtl/>
          <w:lang w:bidi="fa-IR"/>
        </w:rPr>
      </w:pPr>
      <w:r w:rsidRPr="005C7174">
        <w:rPr>
          <w:rFonts w:cs="B Nazanin" w:hint="cs"/>
          <w:rtl/>
          <w:lang w:bidi="fa-IR"/>
        </w:rPr>
        <w:t>«اصطلاح معاهده به معنای توافق بین‌المللی است که به موجب مقررات حقوق بین‌الملل به صورت مکتوب از سوی چند کشور تحقق پذیرفته و ممکن است در سندی واحد و یا دو یا چند سند پیوسته ثبت بشود حال دیگر فرق نمی‌کند که به چه عنوان خوانده شود.»</w:t>
      </w:r>
      <w:r w:rsidRPr="005C7174">
        <w:rPr>
          <w:rStyle w:val="FootnoteReference"/>
          <w:rFonts w:cs="B Nazanin"/>
          <w:rtl/>
          <w:lang w:bidi="fa-IR"/>
        </w:rPr>
        <w:footnoteReference w:id="2"/>
      </w:r>
    </w:p>
    <w:p w:rsidR="005C7174" w:rsidRPr="005C7174" w:rsidRDefault="005C7174" w:rsidP="005C7174">
      <w:pPr>
        <w:spacing w:line="360" w:lineRule="auto"/>
        <w:rPr>
          <w:rFonts w:cs="B Nazanin" w:hint="cs"/>
          <w:rtl/>
          <w:lang w:bidi="fa-IR"/>
        </w:rPr>
      </w:pPr>
      <w:r w:rsidRPr="005C7174">
        <w:rPr>
          <w:rFonts w:cs="B Nazanin" w:hint="cs"/>
          <w:rtl/>
          <w:lang w:bidi="fa-IR"/>
        </w:rPr>
        <w:t>بدین‌ترتیب معاهده با دو معیار مکتوب بودن و انعقاد بین چند کشور شناسایی می‌گردد لذا اساسنامه صندوق بین‌المللی پول چون بین چندین کشور به صورت مکتوب منعقد گردیده است معاهده محسوب می‌گردد.</w:t>
      </w:r>
    </w:p>
    <w:p w:rsidR="005C7174" w:rsidRPr="005C7174" w:rsidRDefault="005C7174" w:rsidP="005C7174">
      <w:pPr>
        <w:spacing w:line="360" w:lineRule="auto"/>
        <w:rPr>
          <w:rFonts w:cs="B Nazanin" w:hint="cs"/>
          <w:rtl/>
          <w:lang w:bidi="fa-IR"/>
        </w:rPr>
      </w:pPr>
      <w:r w:rsidRPr="005C7174">
        <w:rPr>
          <w:rFonts w:cs="B Nazanin" w:hint="cs"/>
          <w:rtl/>
          <w:lang w:bidi="fa-IR"/>
        </w:rPr>
        <w:t>اصولاً معاهداتی که توسط نمایندگان کشورها امضاء می‌شود در صورتی تعهدآور است که به تصویب قانونی در کشورهای مربوطه برسد به همین علت بند الف بخش اول ماده سی و یکم اساسنامه صندوق بین‌المللی پول نیز مقرر می‌دارد هر دولتی که از طرف او ا ین موافقت‌نامه امضاء می‌شود سندی حاکی از اينكه  موافقت‌نامه حاضر را طبق قوانین کشور خود پذیرفته و اقدامات لازم را برای قادر بودن به ایفای کلیه تعهدات مندرج در این موافقت‌نامه به عمل آورده است نزد دولت ایالات متحده امریکا خواهد سپرد و هر کشوری پس از سپردن سند مندرج در این بند عضو صندوق محسوب خواهد شد.</w:t>
      </w:r>
    </w:p>
    <w:p w:rsidR="005C7174" w:rsidRPr="005C7174" w:rsidRDefault="005C7174" w:rsidP="005C7174">
      <w:pPr>
        <w:spacing w:line="360" w:lineRule="auto"/>
        <w:rPr>
          <w:rFonts w:cs="B Nazanin" w:hint="cs"/>
          <w:rtl/>
          <w:lang w:bidi="fa-IR"/>
        </w:rPr>
      </w:pPr>
      <w:r w:rsidRPr="005C7174">
        <w:rPr>
          <w:rFonts w:cs="B Nazanin" w:hint="cs"/>
          <w:rtl/>
          <w:lang w:bidi="fa-IR"/>
        </w:rPr>
        <w:t xml:space="preserve">سوالی که ممکن است در این‌جا مطرح شود این است که پس از تصویب معاهده‌ای مانند سند تاسیس صندوق بین‌المللی پول در مراجع ذیصلاح داخلی، چنین معاهده‌ای چه نقشی را می‌تواند در رابطه با قوانین داخلی بازی کند و یا به عبارت دیگر آثار حقوقی چنین معاهده یا موافقت‌نامه‌ای در کشورهای امضاء کننده به چه شکل است، اکثر حقوقدانان بر این عقیده‌اند که در قواعد حقوقی سلسله‌مراتبی وجود دارد و در بسیاری از کشورهای دنیا معاهده برتر از حقوق داخلی و حتی قانون اساسی محسوب می‌شود ولی عده‌ای دیگر از حقوقدانان  معتقدند که اصل حاکم در این مورد آن است که اگر تشریفات وضع دو قاعده حقوقی یکسان باشد هیچ‌یک از آن دو قاعده را بر دیگری برتری نیست اما در صورتی که وضع و تدوین یک قاعده پیچیده‌تر و سنگین‌تر از قاعده دیگر باشد، اصولاً اهمیت قاعده نخست پیش از قاعده دوم است در مورد معاهده و قانون اساسی چون </w:t>
      </w:r>
      <w:r w:rsidRPr="005C7174">
        <w:rPr>
          <w:rFonts w:cs="B Nazanin" w:hint="cs"/>
          <w:rtl/>
          <w:lang w:bidi="fa-IR"/>
        </w:rPr>
        <w:lastRenderedPageBreak/>
        <w:t>تشریفات انعقاد و تصویب معاهده از تشریفات مفصل وضع و تصویب قانون اساسی ساده‌تر است بنابراین قانون اساسی برتر از معاهده است.</w:t>
      </w:r>
      <w:r w:rsidRPr="005C7174">
        <w:rPr>
          <w:rStyle w:val="FootnoteReference"/>
          <w:rFonts w:cs="B Nazanin"/>
          <w:rtl/>
          <w:lang w:bidi="fa-IR"/>
        </w:rPr>
        <w:footnoteReference w:id="3"/>
      </w:r>
    </w:p>
    <w:p w:rsidR="005C7174" w:rsidRPr="005C7174" w:rsidRDefault="005C7174" w:rsidP="005C7174">
      <w:pPr>
        <w:rPr>
          <w:rFonts w:cs="B Nazanin" w:hint="cs"/>
          <w:rtl/>
          <w:lang w:bidi="fa-IR"/>
        </w:rPr>
      </w:pPr>
      <w:r w:rsidRPr="005C7174">
        <w:rPr>
          <w:rFonts w:cs="B Nazanin" w:hint="cs"/>
          <w:rtl/>
          <w:lang w:bidi="fa-IR"/>
        </w:rPr>
        <w:t>به هر حال کشورهای مختلف در این خصوص طرق مختلف اختیار کرده‌اند با توجه به قانون اساسی جمهوری اسلامی ایران</w:t>
      </w:r>
      <w:r w:rsidRPr="005C7174">
        <w:rPr>
          <w:rStyle w:val="FootnoteReference"/>
          <w:rFonts w:cs="B Nazanin"/>
          <w:rtl/>
          <w:lang w:bidi="fa-IR"/>
        </w:rPr>
        <w:footnoteReference w:id="4"/>
      </w:r>
      <w:r w:rsidRPr="005C7174">
        <w:rPr>
          <w:rFonts w:cs="B Nazanin" w:hint="cs"/>
          <w:rtl/>
          <w:lang w:bidi="fa-IR"/>
        </w:rPr>
        <w:t xml:space="preserve"> در ایران معاهدات در رتبه پایین‌تر از قانون اساسی و قوانین عادی موخر قرار می‌گیرند و در صورتی لازم‌الاجرا می‌باشند که بر خلاف موازین اسلامی نباشند که در مورد اساسنامه صندوق نیز این اصل صادق است </w:t>
      </w:r>
    </w:p>
    <w:p w:rsidR="005C7174" w:rsidRDefault="005C7174">
      <w:pPr>
        <w:rPr>
          <w:rFonts w:hint="cs"/>
          <w:lang w:bidi="fa-IR"/>
        </w:rPr>
      </w:pPr>
    </w:p>
    <w:sectPr w:rsidR="005C7174" w:rsidSect="002F7E46">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7B2" w:rsidRDefault="009F37B2" w:rsidP="005C7174">
      <w:r>
        <w:separator/>
      </w:r>
    </w:p>
  </w:endnote>
  <w:endnote w:type="continuationSeparator" w:id="0">
    <w:p w:rsidR="009F37B2" w:rsidRDefault="009F37B2" w:rsidP="005C71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7B2" w:rsidRDefault="009F37B2" w:rsidP="005C7174">
      <w:r>
        <w:separator/>
      </w:r>
    </w:p>
  </w:footnote>
  <w:footnote w:type="continuationSeparator" w:id="0">
    <w:p w:rsidR="009F37B2" w:rsidRDefault="009F37B2" w:rsidP="005C7174">
      <w:r>
        <w:continuationSeparator/>
      </w:r>
    </w:p>
  </w:footnote>
  <w:footnote w:id="1">
    <w:p w:rsidR="005C7174" w:rsidRDefault="005C7174" w:rsidP="005C7174">
      <w:pPr>
        <w:pStyle w:val="FootnoteText"/>
        <w:bidi w:val="0"/>
        <w:jc w:val="lowKashida"/>
        <w:rPr>
          <w:lang w:bidi="fa-IR"/>
        </w:rPr>
      </w:pPr>
      <w:r>
        <w:rPr>
          <w:rStyle w:val="FootnoteReference"/>
        </w:rPr>
        <w:footnoteRef/>
      </w:r>
      <w:r>
        <w:t xml:space="preserve">- </w:t>
      </w:r>
      <w:r>
        <w:rPr>
          <w:lang w:bidi="fa-IR"/>
        </w:rPr>
        <w:t xml:space="preserve">agreement </w:t>
      </w:r>
    </w:p>
  </w:footnote>
  <w:footnote w:id="2">
    <w:p w:rsidR="005C7174" w:rsidRDefault="005C7174" w:rsidP="005C7174">
      <w:pPr>
        <w:pStyle w:val="FootnoteText"/>
        <w:jc w:val="lowKashida"/>
        <w:rPr>
          <w:lang w:bidi="fa-IR"/>
        </w:rPr>
      </w:pPr>
      <w:r>
        <w:rPr>
          <w:rStyle w:val="FootnoteReference"/>
        </w:rPr>
        <w:footnoteRef/>
      </w:r>
      <w:r>
        <w:rPr>
          <w:rFonts w:hint="cs"/>
          <w:rtl/>
        </w:rPr>
        <w:t xml:space="preserve">- </w:t>
      </w:r>
      <w:r>
        <w:rPr>
          <w:rFonts w:hint="cs"/>
          <w:rtl/>
          <w:lang w:bidi="fa-IR"/>
        </w:rPr>
        <w:t>کیلیار، کلود آلبر، نهادهای روابط بین‌الملل ترجمه هدایت ا... فلسفی انتشارات نشر نوسال 1368 صفحه 450.</w:t>
      </w:r>
    </w:p>
  </w:footnote>
  <w:footnote w:id="3">
    <w:p w:rsidR="005C7174" w:rsidRDefault="005C7174" w:rsidP="005C7174">
      <w:pPr>
        <w:pStyle w:val="FootnoteText"/>
        <w:jc w:val="lowKashida"/>
        <w:rPr>
          <w:lang w:bidi="fa-IR"/>
        </w:rPr>
      </w:pPr>
      <w:r>
        <w:rPr>
          <w:rStyle w:val="FootnoteReference"/>
        </w:rPr>
        <w:footnoteRef/>
      </w:r>
      <w:r>
        <w:rPr>
          <w:rFonts w:hint="cs"/>
          <w:rtl/>
        </w:rPr>
        <w:t xml:space="preserve">- </w:t>
      </w:r>
      <w:r>
        <w:rPr>
          <w:rFonts w:hint="cs"/>
          <w:rtl/>
          <w:lang w:bidi="fa-IR"/>
        </w:rPr>
        <w:t xml:space="preserve">مرجع اخیرالذکر صفحه 467 </w:t>
      </w:r>
    </w:p>
  </w:footnote>
  <w:footnote w:id="4">
    <w:p w:rsidR="005C7174" w:rsidRDefault="005C7174" w:rsidP="005C7174">
      <w:pPr>
        <w:pStyle w:val="FootnoteText"/>
        <w:jc w:val="lowKashida"/>
        <w:rPr>
          <w:lang w:bidi="fa-IR"/>
        </w:rPr>
      </w:pPr>
      <w:r>
        <w:rPr>
          <w:rStyle w:val="FootnoteReference"/>
        </w:rPr>
        <w:footnoteRef/>
      </w:r>
      <w:r>
        <w:rPr>
          <w:rFonts w:hint="cs"/>
          <w:rtl/>
        </w:rPr>
        <w:t xml:space="preserve">- </w:t>
      </w:r>
      <w:r>
        <w:rPr>
          <w:rFonts w:hint="cs"/>
          <w:rtl/>
          <w:lang w:bidi="fa-IR"/>
        </w:rPr>
        <w:t xml:space="preserve">به موجب مفاد اصول ذیل‌الذکر قانون اساسی: </w:t>
      </w:r>
    </w:p>
    <w:p w:rsidR="005C7174" w:rsidRDefault="005C7174" w:rsidP="005C7174">
      <w:pPr>
        <w:pStyle w:val="FootnoteText"/>
        <w:jc w:val="lowKashida"/>
        <w:rPr>
          <w:rFonts w:hint="cs"/>
          <w:rtl/>
          <w:lang w:bidi="fa-IR"/>
        </w:rPr>
      </w:pPr>
      <w:r>
        <w:rPr>
          <w:rFonts w:hint="cs"/>
          <w:rtl/>
          <w:lang w:bidi="fa-IR"/>
        </w:rPr>
        <w:t>اصل چهارم: کلیه قوانین و مقررات مدنی، جزائی، مالی، اقتصادی، اداری، فرهنگی و ... باید براساس موازین اسلامی باشد و ... تشخیص این امر بر عهده فقهای شورای نگهبان است.</w:t>
      </w:r>
    </w:p>
    <w:p w:rsidR="005C7174" w:rsidRDefault="005C7174" w:rsidP="005C7174">
      <w:pPr>
        <w:pStyle w:val="FootnoteText"/>
        <w:jc w:val="lowKashida"/>
        <w:rPr>
          <w:rFonts w:hint="cs"/>
          <w:rtl/>
          <w:lang w:bidi="fa-IR"/>
        </w:rPr>
      </w:pPr>
      <w:r>
        <w:rPr>
          <w:rFonts w:hint="cs"/>
          <w:rtl/>
          <w:lang w:bidi="fa-IR"/>
        </w:rPr>
        <w:t xml:space="preserve">اصل هفتاد و هفتم: </w:t>
      </w:r>
    </w:p>
    <w:p w:rsidR="005C7174" w:rsidRDefault="005C7174" w:rsidP="005C7174">
      <w:pPr>
        <w:pStyle w:val="FootnoteText"/>
        <w:jc w:val="lowKashida"/>
        <w:rPr>
          <w:rFonts w:hint="cs"/>
          <w:rtl/>
          <w:lang w:bidi="fa-IR"/>
        </w:rPr>
      </w:pPr>
      <w:r>
        <w:rPr>
          <w:rFonts w:hint="cs"/>
          <w:rtl/>
          <w:lang w:bidi="fa-IR"/>
        </w:rPr>
        <w:t>عهدنامه‌ها، مقاوله‌نامه‌ها، قراردادها و موافقت‌نامه‌های بین‌المللی باید به تصویب مجلس شورای ملی برسد.</w:t>
      </w:r>
    </w:p>
    <w:p w:rsidR="005C7174" w:rsidRDefault="005C7174" w:rsidP="005C7174">
      <w:pPr>
        <w:pStyle w:val="FootnoteText"/>
        <w:jc w:val="lowKashida"/>
        <w:rPr>
          <w:rFonts w:hint="cs"/>
          <w:rtl/>
          <w:lang w:bidi="fa-IR"/>
        </w:rPr>
      </w:pPr>
      <w:r>
        <w:rPr>
          <w:rFonts w:hint="cs"/>
          <w:rtl/>
          <w:lang w:bidi="fa-IR"/>
        </w:rPr>
        <w:t xml:space="preserve">اصل نود و ششم: </w:t>
      </w:r>
    </w:p>
    <w:p w:rsidR="005C7174" w:rsidRDefault="005C7174" w:rsidP="005C7174">
      <w:pPr>
        <w:pStyle w:val="FootnoteText"/>
        <w:jc w:val="lowKashida"/>
        <w:rPr>
          <w:rFonts w:hint="cs"/>
          <w:rtl/>
          <w:lang w:bidi="fa-IR"/>
        </w:rPr>
      </w:pPr>
      <w:r>
        <w:rPr>
          <w:rFonts w:hint="cs"/>
          <w:rtl/>
          <w:lang w:bidi="fa-IR"/>
        </w:rPr>
        <w:t>تشخیص عدم مغایرت مصوبات مجلس شورای اسلامی با احکام اسلام با اکثریت فقهای شورای نگهبان و تشخیص عدم تعارض آن‌ها با قانون اساسی بر عهده اکثریت همه اعضای شورای نگهبان است.</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B1801"/>
    <w:rsid w:val="002815A4"/>
    <w:rsid w:val="005C7174"/>
    <w:rsid w:val="007B1801"/>
    <w:rsid w:val="009F37B2"/>
    <w:rsid w:val="00B85AB2"/>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01"/>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7B1801"/>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B1801"/>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7B1801"/>
    <w:rPr>
      <w:rFonts w:ascii="Tahoma" w:hAnsi="Tahoma" w:cs="Tahoma"/>
      <w:sz w:val="16"/>
      <w:szCs w:val="16"/>
    </w:rPr>
  </w:style>
  <w:style w:type="character" w:customStyle="1" w:styleId="BalloonTextChar">
    <w:name w:val="Balloon Text Char"/>
    <w:basedOn w:val="DefaultParagraphFont"/>
    <w:link w:val="BalloonText"/>
    <w:uiPriority w:val="99"/>
    <w:semiHidden/>
    <w:rsid w:val="007B1801"/>
    <w:rPr>
      <w:rFonts w:ascii="Tahoma" w:eastAsia="Times New Roman" w:hAnsi="Tahoma" w:cs="Tahoma"/>
      <w:sz w:val="16"/>
      <w:szCs w:val="16"/>
      <w:lang w:bidi="ar-SA"/>
    </w:rPr>
  </w:style>
  <w:style w:type="paragraph" w:styleId="FootnoteText">
    <w:name w:val="footnote text"/>
    <w:basedOn w:val="Normal"/>
    <w:link w:val="FootnoteTextChar"/>
    <w:semiHidden/>
    <w:unhideWhenUsed/>
    <w:rsid w:val="005C7174"/>
    <w:rPr>
      <w:rFonts w:cs="B Yagut"/>
      <w:sz w:val="20"/>
      <w:szCs w:val="20"/>
    </w:rPr>
  </w:style>
  <w:style w:type="character" w:customStyle="1" w:styleId="FootnoteTextChar">
    <w:name w:val="Footnote Text Char"/>
    <w:basedOn w:val="DefaultParagraphFont"/>
    <w:link w:val="FootnoteText"/>
    <w:semiHidden/>
    <w:rsid w:val="005C7174"/>
    <w:rPr>
      <w:rFonts w:ascii="Times New Roman" w:eastAsia="Times New Roman" w:hAnsi="Times New Roman" w:cs="B Yagut"/>
      <w:sz w:val="20"/>
      <w:szCs w:val="20"/>
      <w:lang w:bidi="ar-SA"/>
    </w:rPr>
  </w:style>
  <w:style w:type="character" w:styleId="FootnoteReference">
    <w:name w:val="footnote reference"/>
    <w:basedOn w:val="DefaultParagraphFont"/>
    <w:semiHidden/>
    <w:unhideWhenUsed/>
    <w:rsid w:val="005C7174"/>
    <w:rPr>
      <w:vertAlign w:val="superscript"/>
    </w:rPr>
  </w:style>
</w:styles>
</file>

<file path=word/webSettings.xml><?xml version="1.0" encoding="utf-8"?>
<w:webSettings xmlns:r="http://schemas.openxmlformats.org/officeDocument/2006/relationships" xmlns:w="http://schemas.openxmlformats.org/wordprocessingml/2006/main">
  <w:divs>
    <w:div w:id="1615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2015-10-01T11:24:00Z</dcterms:created>
  <dcterms:modified xsi:type="dcterms:W3CDTF">2015-10-01T11:33:00Z</dcterms:modified>
</cp:coreProperties>
</file>