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2F" w:rsidRDefault="00A75E2F" w:rsidP="00A75E2F">
      <w:pPr>
        <w:jc w:val="center"/>
        <w:rPr>
          <w:rFonts w:cs="Za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71755</wp:posOffset>
            </wp:positionV>
            <wp:extent cx="832485" cy="1200150"/>
            <wp:effectExtent l="19050" t="0" r="5715" b="0"/>
            <wp:wrapNone/>
            <wp:docPr id="3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5E2F" w:rsidRDefault="00A75E2F" w:rsidP="00A75E2F">
      <w:pPr>
        <w:jc w:val="center"/>
        <w:rPr>
          <w:rFonts w:cs="Zar"/>
          <w:rtl/>
          <w:lang w:bidi="ar-SA"/>
        </w:rPr>
      </w:pPr>
    </w:p>
    <w:p w:rsidR="00A75E2F" w:rsidRDefault="00A75E2F" w:rsidP="00A75E2F">
      <w:pPr>
        <w:jc w:val="center"/>
        <w:rPr>
          <w:rFonts w:cs="Zar" w:hint="cs"/>
          <w:rtl/>
        </w:rPr>
      </w:pPr>
    </w:p>
    <w:p w:rsidR="00A75E2F" w:rsidRDefault="00A75E2F" w:rsidP="00A75E2F">
      <w:pPr>
        <w:jc w:val="center"/>
        <w:rPr>
          <w:rFonts w:cs="Zar"/>
          <w:rtl/>
        </w:rPr>
      </w:pPr>
    </w:p>
    <w:p w:rsidR="00942922" w:rsidRPr="008978FA" w:rsidRDefault="00942922" w:rsidP="00942922">
      <w:pPr>
        <w:jc w:val="center"/>
        <w:rPr>
          <w:rFonts w:cs="Zar"/>
          <w:szCs w:val="24"/>
          <w:rtl/>
        </w:rPr>
      </w:pPr>
      <w:r w:rsidRPr="008978FA">
        <w:rPr>
          <w:rFonts w:cs="Zar"/>
          <w:szCs w:val="24"/>
          <w:rtl/>
        </w:rPr>
        <w:t>دانشگاه آزاد اسلامي</w:t>
      </w:r>
    </w:p>
    <w:p w:rsidR="00942922" w:rsidRPr="008978FA" w:rsidRDefault="00942922" w:rsidP="00942922">
      <w:pPr>
        <w:jc w:val="center"/>
        <w:rPr>
          <w:rFonts w:cs="Zar"/>
          <w:szCs w:val="24"/>
          <w:rtl/>
        </w:rPr>
      </w:pPr>
      <w:r w:rsidRPr="008978FA">
        <w:rPr>
          <w:rFonts w:cs="Zar"/>
          <w:szCs w:val="24"/>
          <w:rtl/>
        </w:rPr>
        <w:t>واحد كرج</w:t>
      </w:r>
    </w:p>
    <w:p w:rsidR="00942922" w:rsidRPr="008978FA" w:rsidRDefault="00942922" w:rsidP="00942922">
      <w:pPr>
        <w:pStyle w:val="Heading1"/>
        <w:jc w:val="center"/>
        <w:rPr>
          <w:szCs w:val="24"/>
          <w:rtl/>
        </w:rPr>
      </w:pPr>
      <w:r w:rsidRPr="008978FA">
        <w:rPr>
          <w:szCs w:val="24"/>
          <w:rtl/>
        </w:rPr>
        <w:t>دانشكده الهيات و ادبيات عرب</w:t>
      </w:r>
    </w:p>
    <w:p w:rsidR="00942922" w:rsidRPr="00F20C8A" w:rsidRDefault="00942922" w:rsidP="00942922">
      <w:pPr>
        <w:spacing w:line="240" w:lineRule="auto"/>
        <w:jc w:val="center"/>
        <w:rPr>
          <w:rFonts w:cs="Lotus"/>
          <w:b/>
          <w:bCs/>
          <w:sz w:val="24"/>
          <w:szCs w:val="24"/>
        </w:rPr>
      </w:pPr>
      <w:r w:rsidRPr="00F20C8A">
        <w:rPr>
          <w:rFonts w:cs="Lotus"/>
          <w:b/>
          <w:bCs/>
          <w:sz w:val="24"/>
          <w:szCs w:val="24"/>
          <w:rtl/>
        </w:rPr>
        <w:t xml:space="preserve">جهت دريافت درجه كارشناسي ارشد </w:t>
      </w:r>
      <w:r w:rsidRPr="00F20C8A">
        <w:rPr>
          <w:rFonts w:cs="Lotus"/>
          <w:b/>
          <w:bCs/>
          <w:sz w:val="24"/>
          <w:szCs w:val="24"/>
        </w:rPr>
        <w:t>M.A</w:t>
      </w:r>
    </w:p>
    <w:p w:rsidR="00942922" w:rsidRPr="00F20C8A" w:rsidRDefault="00942922" w:rsidP="00942922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Cs w:val="24"/>
          <w:rtl/>
        </w:rPr>
        <w:t>رشته</w:t>
      </w:r>
      <w:r>
        <w:rPr>
          <w:rFonts w:hint="cs"/>
          <w:b/>
          <w:bCs/>
          <w:szCs w:val="24"/>
          <w:rtl/>
        </w:rPr>
        <w:t xml:space="preserve"> </w:t>
      </w:r>
      <w:r w:rsidRPr="00F20C8A">
        <w:rPr>
          <w:sz w:val="24"/>
          <w:szCs w:val="24"/>
          <w:rtl/>
        </w:rPr>
        <w:t>فلسفه و كلام اسلامي</w:t>
      </w:r>
    </w:p>
    <w:p w:rsidR="00942922" w:rsidRDefault="00942922" w:rsidP="00942922">
      <w:pPr>
        <w:rPr>
          <w:rtl/>
        </w:rPr>
      </w:pPr>
    </w:p>
    <w:p w:rsidR="00942922" w:rsidRPr="00F20C8A" w:rsidRDefault="00942922" w:rsidP="00942922">
      <w:pPr>
        <w:rPr>
          <w:rtl/>
        </w:rPr>
      </w:pPr>
    </w:p>
    <w:p w:rsidR="00942922" w:rsidRPr="00F20C8A" w:rsidRDefault="00942922" w:rsidP="00942922">
      <w:pPr>
        <w:jc w:val="center"/>
        <w:rPr>
          <w:rFonts w:cs="Homa"/>
          <w:sz w:val="40"/>
          <w:szCs w:val="40"/>
          <w:rtl/>
        </w:rPr>
      </w:pPr>
      <w:r w:rsidRPr="00F20C8A">
        <w:rPr>
          <w:rFonts w:cs="Homa"/>
          <w:sz w:val="40"/>
          <w:szCs w:val="40"/>
          <w:rtl/>
        </w:rPr>
        <w:t>عنوان :</w:t>
      </w:r>
    </w:p>
    <w:p w:rsidR="00942922" w:rsidRPr="00F20C8A" w:rsidRDefault="00942922" w:rsidP="00942922">
      <w:pPr>
        <w:jc w:val="center"/>
        <w:rPr>
          <w:rFonts w:cs="B Zar"/>
          <w:b/>
          <w:bCs/>
          <w:sz w:val="40"/>
          <w:szCs w:val="40"/>
          <w:rtl/>
        </w:rPr>
      </w:pPr>
      <w:r w:rsidRPr="00F20C8A">
        <w:rPr>
          <w:rFonts w:ascii="Times New Roman" w:hAnsi="Times New Roman" w:cs="B Zar"/>
          <w:b/>
          <w:bCs/>
          <w:sz w:val="40"/>
          <w:szCs w:val="40"/>
          <w:rtl/>
        </w:rPr>
        <w:t>روان‌شناسي</w:t>
      </w:r>
      <w:r w:rsidRPr="00F20C8A">
        <w:rPr>
          <w:rFonts w:ascii="Times New Roman" w:hAnsi="Times New Roman" w:cs="B Zar" w:hint="cs"/>
          <w:b/>
          <w:bCs/>
          <w:sz w:val="40"/>
          <w:szCs w:val="40"/>
          <w:rtl/>
        </w:rPr>
        <w:t xml:space="preserve"> و</w:t>
      </w:r>
      <w:r w:rsidRPr="00F20C8A">
        <w:rPr>
          <w:rFonts w:ascii="Times New Roman" w:hAnsi="Times New Roman" w:cs="B Zar"/>
          <w:b/>
          <w:bCs/>
          <w:sz w:val="40"/>
          <w:szCs w:val="40"/>
          <w:rtl/>
        </w:rPr>
        <w:t xml:space="preserve"> دين</w:t>
      </w:r>
      <w:r w:rsidRPr="00F20C8A">
        <w:rPr>
          <w:rFonts w:ascii="Times New Roman" w:hAnsi="Times New Roman" w:cs="B Zar" w:hint="cs"/>
          <w:b/>
          <w:bCs/>
          <w:sz w:val="40"/>
          <w:szCs w:val="40"/>
          <w:rtl/>
        </w:rPr>
        <w:t>، بررسی تئوری ها، تجارب دینی و نگاه نقادانه به این موضوع</w:t>
      </w:r>
    </w:p>
    <w:p w:rsidR="00942922" w:rsidRDefault="00942922" w:rsidP="00942922">
      <w:pPr>
        <w:rPr>
          <w:rtl/>
        </w:rPr>
      </w:pPr>
    </w:p>
    <w:p w:rsidR="00942922" w:rsidRPr="00F20C8A" w:rsidRDefault="00942922" w:rsidP="00942922">
      <w:pPr>
        <w:rPr>
          <w:rtl/>
        </w:rPr>
      </w:pPr>
    </w:p>
    <w:p w:rsidR="00942922" w:rsidRDefault="00942922" w:rsidP="00942922">
      <w:pPr>
        <w:jc w:val="center"/>
        <w:rPr>
          <w:rFonts w:cs="Homa"/>
          <w:szCs w:val="24"/>
          <w:rtl/>
        </w:rPr>
      </w:pPr>
      <w:r w:rsidRPr="008978FA">
        <w:rPr>
          <w:rFonts w:cs="Homa"/>
          <w:szCs w:val="24"/>
          <w:rtl/>
        </w:rPr>
        <w:t>استاد راهنما :</w:t>
      </w:r>
    </w:p>
    <w:p w:rsidR="00942922" w:rsidRPr="008978FA" w:rsidRDefault="00942922" w:rsidP="00942922">
      <w:pPr>
        <w:rPr>
          <w:rFonts w:cs="Homa"/>
          <w:szCs w:val="24"/>
          <w:rtl/>
        </w:rPr>
      </w:pPr>
    </w:p>
    <w:p w:rsidR="00942922" w:rsidRDefault="00942922" w:rsidP="00942922">
      <w:pPr>
        <w:jc w:val="center"/>
        <w:rPr>
          <w:rFonts w:cs="Homa"/>
          <w:szCs w:val="24"/>
          <w:rtl/>
        </w:rPr>
      </w:pPr>
      <w:r w:rsidRPr="008978FA">
        <w:rPr>
          <w:rFonts w:cs="Homa"/>
          <w:szCs w:val="24"/>
          <w:rtl/>
        </w:rPr>
        <w:t>استاد مشاور :</w:t>
      </w:r>
    </w:p>
    <w:p w:rsidR="00942922" w:rsidRPr="008978FA" w:rsidRDefault="00942922" w:rsidP="00942922">
      <w:pPr>
        <w:rPr>
          <w:rFonts w:cs="Homa"/>
          <w:szCs w:val="24"/>
          <w:rtl/>
        </w:rPr>
      </w:pPr>
    </w:p>
    <w:p w:rsidR="00A75E2F" w:rsidRPr="00942922" w:rsidRDefault="00942922" w:rsidP="00942922">
      <w:pPr>
        <w:jc w:val="center"/>
        <w:rPr>
          <w:rFonts w:cs="Homa"/>
          <w:szCs w:val="24"/>
          <w:rtl/>
        </w:rPr>
      </w:pPr>
      <w:r w:rsidRPr="008978FA">
        <w:rPr>
          <w:rFonts w:cs="Homa"/>
          <w:szCs w:val="24"/>
          <w:rtl/>
        </w:rPr>
        <w:t>نگارش :</w:t>
      </w:r>
    </w:p>
    <w:tbl>
      <w:tblPr>
        <w:tblpPr w:leftFromText="180" w:rightFromText="180" w:horzAnchor="margin" w:tblpY="-144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796"/>
      </w:tblGrid>
      <w:tr w:rsidR="00A75E2F" w:rsidTr="006B7134">
        <w:trPr>
          <w:trHeight w:val="799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pStyle w:val="Heading2"/>
              <w:rPr>
                <w:rFonts w:eastAsiaTheme="minorEastAsia" w:cs="Homa"/>
                <w:sz w:val="28"/>
                <w:szCs w:val="28"/>
              </w:rPr>
            </w:pPr>
            <w:bookmarkStart w:id="0" w:name="_GoBack"/>
            <w:bookmarkEnd w:id="0"/>
            <w:r w:rsidRPr="00A75E2F">
              <w:rPr>
                <w:rFonts w:eastAsiaTheme="minorEastAsia" w:cs="Homa" w:hint="cs"/>
                <w:sz w:val="28"/>
                <w:szCs w:val="28"/>
                <w:rtl/>
              </w:rPr>
              <w:t xml:space="preserve">چكيده </w:t>
            </w:r>
          </w:p>
        </w:tc>
      </w:tr>
      <w:tr w:rsidR="00A75E2F" w:rsidTr="006B7134">
        <w:trPr>
          <w:trHeight w:val="697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b/>
                <w:bCs/>
                <w:sz w:val="28"/>
                <w:szCs w:val="28"/>
                <w:rtl/>
              </w:rPr>
              <w:lastRenderedPageBreak/>
              <w:t xml:space="preserve">مقدمه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</w:t>
            </w:r>
          </w:p>
        </w:tc>
      </w:tr>
      <w:tr w:rsidR="00A75E2F" w:rsidTr="006B7134">
        <w:trPr>
          <w:trHeight w:val="707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pStyle w:val="Heading1"/>
              <w:rPr>
                <w:rFonts w:eastAsiaTheme="minorEastAsia" w:cs="Homa"/>
                <w:sz w:val="28"/>
                <w:szCs w:val="28"/>
              </w:rPr>
            </w:pPr>
            <w:r w:rsidRPr="00A75E2F">
              <w:rPr>
                <w:rFonts w:eastAsiaTheme="minorEastAsia" w:cs="Homa" w:hint="cs"/>
                <w:sz w:val="28"/>
                <w:szCs w:val="28"/>
                <w:rtl/>
              </w:rPr>
              <w:t>فصل اول</w:t>
            </w:r>
          </w:p>
        </w:tc>
      </w:tr>
      <w:tr w:rsidR="00A75E2F" w:rsidTr="006B7134">
        <w:trPr>
          <w:trHeight w:val="717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رابطه روانشناسي و دين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11</w:t>
            </w:r>
          </w:p>
        </w:tc>
      </w:tr>
      <w:tr w:rsidR="00A75E2F" w:rsidTr="006B7134">
        <w:trPr>
          <w:trHeight w:val="713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تعريف دين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15</w:t>
            </w:r>
          </w:p>
        </w:tc>
      </w:tr>
      <w:tr w:rsidR="00A75E2F" w:rsidTr="006B7134">
        <w:trPr>
          <w:trHeight w:val="709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بررسي تئوريهاي روانشناسانة دين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21</w:t>
            </w:r>
          </w:p>
        </w:tc>
      </w:tr>
      <w:tr w:rsidR="00A75E2F" w:rsidTr="006B7134">
        <w:trPr>
          <w:trHeight w:val="705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تئوري تحولي پياژه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22</w:t>
            </w:r>
          </w:p>
        </w:tc>
      </w:tr>
      <w:tr w:rsidR="00A75E2F" w:rsidTr="006B7134">
        <w:trPr>
          <w:trHeight w:val="701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تئوري اريكسون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>. 25</w:t>
            </w:r>
          </w:p>
        </w:tc>
      </w:tr>
      <w:tr w:rsidR="00A75E2F" w:rsidTr="006B7134">
        <w:trPr>
          <w:trHeight w:val="852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آلپورت 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27</w:t>
            </w:r>
          </w:p>
        </w:tc>
      </w:tr>
      <w:tr w:rsidR="00A75E2F" w:rsidTr="006B7134">
        <w:trPr>
          <w:trHeight w:val="709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يونگ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30</w:t>
            </w:r>
          </w:p>
        </w:tc>
      </w:tr>
      <w:tr w:rsidR="00A75E2F" w:rsidTr="006B7134">
        <w:trPr>
          <w:trHeight w:val="847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هيوم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>.. 35</w:t>
            </w:r>
          </w:p>
        </w:tc>
      </w:tr>
      <w:tr w:rsidR="00A75E2F" w:rsidTr="006B7134">
        <w:trPr>
          <w:trHeight w:val="845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فرويد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42</w:t>
            </w:r>
          </w:p>
        </w:tc>
      </w:tr>
      <w:tr w:rsidR="00A75E2F" w:rsidTr="006B7134">
        <w:trPr>
          <w:trHeight w:val="715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    علل گرايش به دين 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47</w:t>
            </w:r>
          </w:p>
        </w:tc>
      </w:tr>
      <w:tr w:rsidR="00A75E2F" w:rsidTr="006B7134">
        <w:trPr>
          <w:trHeight w:val="710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    پيامدهاي گرايش به دين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50</w:t>
            </w:r>
          </w:p>
        </w:tc>
      </w:tr>
      <w:tr w:rsidR="00A75E2F" w:rsidTr="006B7134"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جيمز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51</w:t>
            </w:r>
          </w:p>
        </w:tc>
      </w:tr>
      <w:tr w:rsidR="00A75E2F" w:rsidTr="006B7134">
        <w:tc>
          <w:tcPr>
            <w:tcW w:w="7796" w:type="dxa"/>
            <w:vAlign w:val="center"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</w:p>
        </w:tc>
      </w:tr>
      <w:tr w:rsidR="00A75E2F" w:rsidTr="006B7134">
        <w:trPr>
          <w:trHeight w:val="671"/>
        </w:trPr>
        <w:tc>
          <w:tcPr>
            <w:tcW w:w="7796" w:type="dxa"/>
            <w:vAlign w:val="center"/>
          </w:tcPr>
          <w:p w:rsidR="00A75E2F" w:rsidRPr="00A75E2F" w:rsidRDefault="00A75E2F" w:rsidP="006B7134">
            <w:pPr>
              <w:rPr>
                <w:rFonts w:ascii="Times New Roman" w:eastAsia="Times New Roman" w:hAnsi="Times New Roman" w:cs="Homa"/>
                <w:i/>
                <w:sz w:val="28"/>
                <w:szCs w:val="28"/>
                <w:rtl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</w:t>
            </w:r>
          </w:p>
          <w:p w:rsidR="00A75E2F" w:rsidRPr="00A75E2F" w:rsidRDefault="00A75E2F" w:rsidP="006B7134">
            <w:pPr>
              <w:rPr>
                <w:rFonts w:cs="Homa"/>
                <w:sz w:val="28"/>
                <w:szCs w:val="28"/>
                <w:rtl/>
                <w:lang w:bidi="ar-SA"/>
              </w:rPr>
            </w:pPr>
          </w:p>
          <w:p w:rsidR="00A75E2F" w:rsidRPr="00A75E2F" w:rsidRDefault="00A75E2F" w:rsidP="006B7134">
            <w:pPr>
              <w:rPr>
                <w:rFonts w:cs="Homa"/>
                <w:sz w:val="28"/>
                <w:szCs w:val="28"/>
                <w:rtl/>
              </w:rPr>
            </w:pPr>
          </w:p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تجربة‌ ديني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59</w:t>
            </w:r>
          </w:p>
        </w:tc>
      </w:tr>
      <w:tr w:rsidR="00A75E2F" w:rsidTr="006B7134">
        <w:trPr>
          <w:trHeight w:val="708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lastRenderedPageBreak/>
              <w:t xml:space="preserve">  تعارض علم و دين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60</w:t>
            </w:r>
          </w:p>
        </w:tc>
      </w:tr>
      <w:tr w:rsidR="00A75E2F" w:rsidTr="006B7134">
        <w:trPr>
          <w:trHeight w:val="718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كثرت‌گرايي ديني 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68</w:t>
            </w:r>
          </w:p>
        </w:tc>
      </w:tr>
      <w:tr w:rsidR="00A75E2F" w:rsidTr="006B7134">
        <w:trPr>
          <w:trHeight w:val="857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pStyle w:val="Heading2"/>
              <w:rPr>
                <w:rFonts w:eastAsiaTheme="minorEastAsia" w:cs="Homa"/>
                <w:sz w:val="28"/>
                <w:szCs w:val="28"/>
              </w:rPr>
            </w:pPr>
            <w:r w:rsidRPr="00A75E2F">
              <w:rPr>
                <w:rFonts w:eastAsiaTheme="minorEastAsia" w:cs="Homa" w:hint="cs"/>
                <w:sz w:val="28"/>
                <w:szCs w:val="28"/>
                <w:rtl/>
              </w:rPr>
              <w:t>فصل دوم</w:t>
            </w:r>
          </w:p>
        </w:tc>
      </w:tr>
      <w:tr w:rsidR="00A75E2F" w:rsidTr="006B7134">
        <w:trPr>
          <w:trHeight w:val="698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تعريف تجربة ديني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76</w:t>
            </w:r>
          </w:p>
        </w:tc>
      </w:tr>
      <w:tr w:rsidR="00A75E2F" w:rsidTr="006B7134">
        <w:trPr>
          <w:trHeight w:val="709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پيشينة تاريخي تجربة ديني 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79</w:t>
            </w:r>
          </w:p>
        </w:tc>
      </w:tr>
      <w:tr w:rsidR="00A75E2F" w:rsidTr="006B7134">
        <w:trPr>
          <w:trHeight w:val="705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اقسام تجربة ديني 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83</w:t>
            </w:r>
          </w:p>
        </w:tc>
      </w:tr>
      <w:tr w:rsidR="00A75E2F" w:rsidTr="006B7134">
        <w:trPr>
          <w:trHeight w:val="843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ديدگاههاي مختلف در مورد انواع تجربه‌هاي ديني </w:t>
            </w:r>
            <w:r w:rsidRPr="00A75E2F">
              <w:rPr>
                <w:rFonts w:cs="Homa"/>
                <w:sz w:val="28"/>
                <w:szCs w:val="28"/>
              </w:rPr>
              <w:t>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86</w:t>
            </w:r>
          </w:p>
        </w:tc>
      </w:tr>
      <w:tr w:rsidR="00A75E2F" w:rsidTr="006B7134">
        <w:trPr>
          <w:trHeight w:val="712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تجربة ديني نوعي احساس است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86</w:t>
            </w:r>
          </w:p>
        </w:tc>
      </w:tr>
      <w:tr w:rsidR="00A75E2F" w:rsidTr="006B7134">
        <w:trPr>
          <w:trHeight w:val="709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تجربة‌ ديني نوعي تجربة مبتني بر ادراك حسي است  </w:t>
            </w:r>
            <w:r w:rsidRPr="00A75E2F">
              <w:rPr>
                <w:rFonts w:cs="Homa"/>
                <w:sz w:val="28"/>
                <w:szCs w:val="28"/>
              </w:rPr>
              <w:t>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95</w:t>
            </w:r>
          </w:p>
        </w:tc>
      </w:tr>
      <w:tr w:rsidR="00A75E2F" w:rsidTr="006B7134">
        <w:trPr>
          <w:trHeight w:val="719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تجربة ديني ارائه نوعي تبيين مافوق طبيعي است  </w:t>
            </w:r>
            <w:r w:rsidRPr="00A75E2F">
              <w:rPr>
                <w:rFonts w:cs="Homa"/>
                <w:sz w:val="28"/>
                <w:szCs w:val="28"/>
              </w:rPr>
              <w:t>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98</w:t>
            </w:r>
          </w:p>
        </w:tc>
      </w:tr>
      <w:tr w:rsidR="00A75E2F" w:rsidTr="006B7134">
        <w:trPr>
          <w:trHeight w:val="700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نمونه‌هاي تجربة ديني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104</w:t>
            </w:r>
          </w:p>
        </w:tc>
      </w:tr>
      <w:tr w:rsidR="00A75E2F" w:rsidTr="006B7134">
        <w:trPr>
          <w:trHeight w:val="710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آيا تجربه‌هاي ديني هستة مشتركي دارند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118</w:t>
            </w:r>
          </w:p>
        </w:tc>
      </w:tr>
      <w:tr w:rsidR="00A75E2F" w:rsidTr="006B7134">
        <w:trPr>
          <w:trHeight w:val="721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تجربه‌هاي عرفاني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120</w:t>
            </w:r>
          </w:p>
        </w:tc>
      </w:tr>
      <w:tr w:rsidR="00A75E2F" w:rsidTr="006B7134">
        <w:trPr>
          <w:trHeight w:val="703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آيا تجارب عرفاني معرفت‌زا است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131</w:t>
            </w:r>
          </w:p>
        </w:tc>
      </w:tr>
      <w:tr w:rsidR="00A75E2F" w:rsidTr="006B7134">
        <w:tc>
          <w:tcPr>
            <w:tcW w:w="7796" w:type="dxa"/>
            <w:vAlign w:val="center"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</w:p>
        </w:tc>
      </w:tr>
      <w:tr w:rsidR="00A75E2F" w:rsidTr="006B7134">
        <w:trPr>
          <w:trHeight w:val="671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lastRenderedPageBreak/>
              <w:t xml:space="preserve">  آيا تجربة‌ ديني مي‌تواند اعتقاد ديني را توجيه كند </w:t>
            </w:r>
            <w:r w:rsidRPr="00A75E2F">
              <w:rPr>
                <w:rFonts w:cs="Homa"/>
                <w:sz w:val="28"/>
                <w:szCs w:val="28"/>
              </w:rPr>
              <w:t>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135</w:t>
            </w:r>
          </w:p>
        </w:tc>
      </w:tr>
      <w:tr w:rsidR="00A75E2F" w:rsidTr="006B7134">
        <w:trPr>
          <w:trHeight w:val="850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ascii="Times New Roman" w:eastAsia="Times New Roman" w:hAnsi="Times New Roman" w:cs="Homa"/>
                <w:b/>
                <w:bCs/>
                <w:i/>
                <w:sz w:val="28"/>
                <w:szCs w:val="28"/>
                <w:rtl/>
                <w:lang w:bidi="ar-SA"/>
              </w:rPr>
            </w:pPr>
          </w:p>
          <w:p w:rsidR="00A75E2F" w:rsidRPr="00A75E2F" w:rsidRDefault="00A75E2F" w:rsidP="006B7134">
            <w:pPr>
              <w:rPr>
                <w:rFonts w:cs="Homa"/>
                <w:b/>
                <w:bCs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b/>
                <w:bCs/>
                <w:sz w:val="28"/>
                <w:szCs w:val="28"/>
                <w:rtl/>
              </w:rPr>
              <w:t xml:space="preserve">فصل سوم </w:t>
            </w:r>
          </w:p>
        </w:tc>
      </w:tr>
      <w:tr w:rsidR="00A75E2F" w:rsidTr="006B7134">
        <w:trPr>
          <w:trHeight w:val="721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نگاهي نقادانه به موضوع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149</w:t>
            </w:r>
          </w:p>
        </w:tc>
      </w:tr>
      <w:tr w:rsidR="00A75E2F" w:rsidTr="006B7134">
        <w:trPr>
          <w:trHeight w:val="703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تقدم شرك بر يكتا پرستي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164</w:t>
            </w:r>
          </w:p>
        </w:tc>
      </w:tr>
      <w:tr w:rsidR="00A75E2F" w:rsidTr="006B7134">
        <w:trPr>
          <w:trHeight w:val="713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موهوم پنداري باورهاي ديني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165</w:t>
            </w:r>
          </w:p>
        </w:tc>
      </w:tr>
      <w:tr w:rsidR="00A75E2F" w:rsidTr="006B7134">
        <w:trPr>
          <w:trHeight w:val="709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گناه نخستين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166</w:t>
            </w:r>
          </w:p>
        </w:tc>
      </w:tr>
      <w:tr w:rsidR="00A75E2F" w:rsidTr="006B7134">
        <w:trPr>
          <w:trHeight w:val="705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خداي پدرگونه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167</w:t>
            </w:r>
          </w:p>
        </w:tc>
      </w:tr>
      <w:tr w:rsidR="00A75E2F" w:rsidTr="006B7134">
        <w:trPr>
          <w:trHeight w:val="701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مفهوم جنسيت 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168</w:t>
            </w:r>
          </w:p>
        </w:tc>
      </w:tr>
      <w:tr w:rsidR="00A75E2F" w:rsidTr="006B7134">
        <w:trPr>
          <w:trHeight w:val="711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sz w:val="28"/>
                <w:szCs w:val="28"/>
                <w:rtl/>
              </w:rPr>
              <w:t xml:space="preserve">    ـ تعميم ناروا 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170</w:t>
            </w:r>
          </w:p>
        </w:tc>
      </w:tr>
      <w:tr w:rsidR="00A75E2F" w:rsidTr="006B7134">
        <w:trPr>
          <w:trHeight w:val="706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b/>
                <w:bCs/>
                <w:sz w:val="28"/>
                <w:szCs w:val="28"/>
                <w:rtl/>
              </w:rPr>
              <w:t xml:space="preserve">فهرست منابع و مآخذ (فارسي)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180</w:t>
            </w:r>
          </w:p>
        </w:tc>
      </w:tr>
      <w:tr w:rsidR="00A75E2F" w:rsidTr="006B7134">
        <w:trPr>
          <w:trHeight w:val="717"/>
        </w:trPr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b/>
                <w:bCs/>
                <w:sz w:val="28"/>
                <w:szCs w:val="28"/>
                <w:rtl/>
              </w:rPr>
              <w:t>فهرست منابع و مآخذ (انگليسي)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184</w:t>
            </w:r>
          </w:p>
        </w:tc>
      </w:tr>
      <w:tr w:rsidR="00A75E2F" w:rsidTr="006B7134">
        <w:tc>
          <w:tcPr>
            <w:tcW w:w="7796" w:type="dxa"/>
            <w:vAlign w:val="center"/>
            <w:hideMark/>
          </w:tcPr>
          <w:p w:rsidR="00A75E2F" w:rsidRPr="00A75E2F" w:rsidRDefault="00A75E2F" w:rsidP="006B7134">
            <w:pPr>
              <w:rPr>
                <w:rFonts w:cs="Homa"/>
                <w:i/>
                <w:sz w:val="28"/>
                <w:szCs w:val="28"/>
                <w:lang w:bidi="ar-SA"/>
              </w:rPr>
            </w:pPr>
            <w:r w:rsidRPr="00A75E2F">
              <w:rPr>
                <w:rFonts w:cs="Homa" w:hint="cs"/>
                <w:b/>
                <w:bCs/>
                <w:sz w:val="28"/>
                <w:szCs w:val="28"/>
                <w:rtl/>
              </w:rPr>
              <w:t>چكيده انگليسي</w:t>
            </w:r>
            <w:r w:rsidRPr="00A75E2F">
              <w:rPr>
                <w:rFonts w:cs="Homa"/>
                <w:sz w:val="28"/>
                <w:szCs w:val="28"/>
              </w:rPr>
              <w:t>………………………………………………………………</w:t>
            </w:r>
            <w:r w:rsidRPr="00A75E2F">
              <w:rPr>
                <w:rFonts w:cs="Homa" w:hint="cs"/>
                <w:sz w:val="28"/>
                <w:szCs w:val="28"/>
                <w:rtl/>
              </w:rPr>
              <w:t xml:space="preserve"> 185  </w:t>
            </w:r>
          </w:p>
        </w:tc>
      </w:tr>
    </w:tbl>
    <w:p w:rsidR="00A75E2F" w:rsidRDefault="00A75E2F" w:rsidP="00A75E2F">
      <w:pPr>
        <w:rPr>
          <w:rFonts w:cs="Lotus"/>
          <w:i/>
          <w:szCs w:val="32"/>
          <w:rtl/>
          <w:lang w:bidi="ar-SA"/>
        </w:rPr>
      </w:pPr>
    </w:p>
    <w:p w:rsidR="00A75E2F" w:rsidRDefault="00A75E2F" w:rsidP="00A75E2F">
      <w:pPr>
        <w:rPr>
          <w:rtl/>
        </w:rPr>
      </w:pPr>
    </w:p>
    <w:p w:rsidR="00A75E2F" w:rsidRDefault="00A75E2F" w:rsidP="00A75E2F">
      <w:pPr>
        <w:rPr>
          <w:rtl/>
        </w:rPr>
      </w:pPr>
    </w:p>
    <w:p w:rsidR="00A75E2F" w:rsidRDefault="00A75E2F" w:rsidP="00A75E2F">
      <w:pPr>
        <w:rPr>
          <w:rtl/>
        </w:rPr>
      </w:pPr>
    </w:p>
    <w:p w:rsidR="00A75E2F" w:rsidRDefault="00A75E2F" w:rsidP="00A75E2F">
      <w:pPr>
        <w:rPr>
          <w:rtl/>
        </w:rPr>
      </w:pPr>
    </w:p>
    <w:p w:rsidR="00A75E2F" w:rsidRDefault="00A75E2F" w:rsidP="00A75E2F">
      <w:pPr>
        <w:rPr>
          <w:rtl/>
        </w:rPr>
      </w:pPr>
    </w:p>
    <w:p w:rsidR="00A75E2F" w:rsidRDefault="00A75E2F" w:rsidP="00A75E2F">
      <w:pPr>
        <w:pStyle w:val="Heading1"/>
        <w:rPr>
          <w:rtl/>
          <w:lang w:bidi="fa-IR"/>
        </w:rPr>
      </w:pPr>
    </w:p>
    <w:p w:rsidR="00A75E2F" w:rsidRDefault="00A75E2F" w:rsidP="00A75E2F">
      <w:pPr>
        <w:pStyle w:val="Heading1"/>
        <w:rPr>
          <w:rFonts w:cs="Nasim"/>
        </w:rPr>
      </w:pPr>
      <w:r>
        <w:rPr>
          <w:rFonts w:cs="Nasim" w:hint="cs"/>
          <w:rtl/>
        </w:rPr>
        <w:t>چكيده</w:t>
      </w:r>
    </w:p>
    <w:p w:rsidR="00A75E2F" w:rsidRDefault="00A75E2F" w:rsidP="00A75E2F">
      <w:pPr>
        <w:spacing w:line="360" w:lineRule="auto"/>
        <w:ind w:firstLine="720"/>
        <w:jc w:val="lowKashida"/>
        <w:rPr>
          <w:rFonts w:cs="Lotus"/>
          <w:rtl/>
        </w:rPr>
      </w:pP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 xml:space="preserve">روان‌شناسي دين ، بررسي مسئله دين است از جنبه دروني و فرديِ آن . اين گستره سعي مي كند با تحليل رواني انسان ( از طريق روان‌شناسي ) ، ريشة پيدايش دين و همين‌طور پيامدهاي اين گرايش را مورد مطالعه قرار دهد. در اين باب ، نظريه هاي موافق و مخالف بسياري ارائه شده است .  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lastRenderedPageBreak/>
        <w:t xml:space="preserve">علل و انگيزه هاي بروز ديدگاه روان‌شناسانه دين ، سير تاريخي آن ، تئوري‌ها و نظريه هاي قابل توجه در اين زمينه ، همچنين پيامدهاي تبيين شخصي و رواني دين كه از مهم‌ترين آنها مي توان به پلوراليسم ديني اشاره كرد ، درفصل اول اين رساله مورد مداقه قرار گرفته است . 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>از مهم‌ترين و محوري ترين مسائل مورد بحث در روان‌شناسي دين ، مي‌توان از بحث ‘تجربه ديني’ نام برد كه به عنوان گوهر و اساس اين ديدگاه ،‌ مورد توجه و دقت نظر متفكرين ،‌ متألهان و همچنين روان‌شناسان قرار گرفته است . يكي از مهم‌ترين فرضيه هاي مورد بررسي در اين مبحث ، معرفت ‌زايي تجربيات ديني است و اينكه آيا تجربه ديني مي‌تواند از لحاظ معرفت‌شناسي ، عينيت داشته باشند ؟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>بيان نظريات مختلف در مورد اين مسئله ، كه در فصل دوم به آنها اشاره شده ، تا حدودي اظهار نظر در مورد آن را آسان مي‌نمايد .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 xml:space="preserve">نقد و بررسي موضوع نيز ، همراه با بيان نظرات متفكرين معاصر و نتيجه گيري كلي از بحث ، اجمالاً‌ در فصل پاياني رساله آمده است . 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>ما حصل بحث :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 xml:space="preserve">ـ روان‌شناسي دين ، نگاهي دروني ، رواني و فردي به دين است ، بدون در نظر گرفتن جنبه هاي اجتماعي ، فرهنگي و </w:t>
      </w:r>
      <w:r w:rsidRPr="00A75E2F">
        <w:rPr>
          <w:rFonts w:cs="B Nazanin"/>
          <w:sz w:val="28"/>
          <w:szCs w:val="28"/>
        </w:rPr>
        <w:t>…</w:t>
      </w:r>
      <w:r w:rsidRPr="00A75E2F">
        <w:rPr>
          <w:rFonts w:cs="B Nazanin" w:hint="cs"/>
          <w:sz w:val="28"/>
          <w:szCs w:val="28"/>
          <w:rtl/>
        </w:rPr>
        <w:t xml:space="preserve"> آن . 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>ـ تبيين شخصي و دروني دين ، از بسياري از تعارضات ميان عقايد ديني و ساير ابعاد زندگي جلوگيري كرده و خواه و ناخواه ،‌ اصطكاك هميشگي ميان دين و علم را</w:t>
      </w:r>
      <w:r w:rsidRPr="00A75E2F">
        <w:rPr>
          <w:rFonts w:cs="B Nazanin" w:hint="cs"/>
          <w:sz w:val="28"/>
          <w:szCs w:val="28"/>
          <w:rtl/>
        </w:rPr>
        <w:br/>
        <w:t xml:space="preserve"> از بين مي‌ برد.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 xml:space="preserve">ـ از طريق ارجاع تجربيات شخصي و فردي به پيش فرض‌هاي ديني و زمينه هاي مذهبي افراد ، تجربيات ديني قابل تعريف بوده و به عنوان مهم‌ترين عامل تحويل دين به روان‌شناسي ، مورد بررسي و دقت نظر قرار مي گيرد . 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lastRenderedPageBreak/>
        <w:t xml:space="preserve">ـ تجربيات ديني از لحاظ معرفت شناسي مي توانند عينيت داشته باشند و اعتقادآور باشند ( اما فقط براي صاحب تجربه و نه ناظران ، بلكه براي ناظران خارجي ، تنها جنبه آشنايي دارد ) 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>ـ از بارزترين نتايج تبيين و تفسير دروني و فردي دين ، اعتقاد به پلوراليسم ديني</w:t>
      </w:r>
      <w:r w:rsidRPr="00A75E2F">
        <w:rPr>
          <w:rFonts w:cs="B Nazanin" w:hint="cs"/>
          <w:sz w:val="28"/>
          <w:szCs w:val="28"/>
          <w:rtl/>
        </w:rPr>
        <w:br/>
        <w:t xml:space="preserve"> ( كثرت گرايي ديني ) است كه امروزه با گسترش اين روند در جوامع غربي ، حقانيت مكاتب توحيدي و اعتقاد به صراط مستقيمي واحد ، به زير سؤال رفته و تا حدودي تضعيف شده است . </w:t>
      </w:r>
    </w:p>
    <w:p w:rsidR="00A75E2F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  <w:rtl/>
        </w:rPr>
      </w:pPr>
      <w:r w:rsidRPr="00A75E2F">
        <w:rPr>
          <w:rFonts w:cs="B Nazanin" w:hint="cs"/>
          <w:sz w:val="28"/>
          <w:szCs w:val="28"/>
          <w:rtl/>
        </w:rPr>
        <w:t>ـ دين از طريق تجربه دروني و شخصي قابل ادراك است ، و اين ادراك بر اساس فطرت كمال‌جوي انسان و طبيعت وي استوار است .</w:t>
      </w:r>
    </w:p>
    <w:p w:rsidR="00184DB4" w:rsidRPr="00A75E2F" w:rsidRDefault="00A75E2F" w:rsidP="00A75E2F">
      <w:pPr>
        <w:spacing w:line="360" w:lineRule="auto"/>
        <w:ind w:firstLine="720"/>
        <w:rPr>
          <w:rFonts w:cs="B Nazanin"/>
          <w:sz w:val="28"/>
          <w:szCs w:val="28"/>
        </w:rPr>
      </w:pPr>
      <w:r w:rsidRPr="00A75E2F">
        <w:rPr>
          <w:rFonts w:cs="B Nazanin" w:hint="cs"/>
          <w:sz w:val="28"/>
          <w:szCs w:val="28"/>
          <w:rtl/>
        </w:rPr>
        <w:t>ـ تجربيات ديني در صورت عينيت يافتن ، مي تواند معرفت زايي كرده و اعتقادات ديني را توجيه نمايند؛ اما اين مسئله در مورد شخص تجربه كننده صادق مي باشد و براي شخص ناظر هيچ الزام و ضرورتي ، براي اعتقاد از طريق تجربه ديني وجود ندارد.</w:t>
      </w:r>
    </w:p>
    <w:sectPr w:rsidR="00184DB4" w:rsidRPr="00A75E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im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5E2F"/>
    <w:rsid w:val="00184DB4"/>
    <w:rsid w:val="006B7134"/>
    <w:rsid w:val="00942922"/>
    <w:rsid w:val="00A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52A1"/>
  <w15:docId w15:val="{1EAC2A6C-6A12-4E94-8218-214E63E2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75E2F"/>
    <w:pPr>
      <w:keepNext/>
      <w:spacing w:after="0" w:line="240" w:lineRule="auto"/>
      <w:outlineLvl w:val="0"/>
    </w:pPr>
    <w:rPr>
      <w:rFonts w:ascii="Times New Roman" w:eastAsia="Times New Roman" w:hAnsi="Times New Roman" w:cs="Lotus"/>
      <w:b/>
      <w:bCs/>
      <w:i/>
      <w:sz w:val="24"/>
      <w:szCs w:val="34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A75E2F"/>
    <w:pPr>
      <w:keepNext/>
      <w:spacing w:after="0" w:line="240" w:lineRule="auto"/>
      <w:outlineLvl w:val="1"/>
    </w:pPr>
    <w:rPr>
      <w:rFonts w:ascii="Times New Roman" w:eastAsia="Times New Roman" w:hAnsi="Times New Roman" w:cs="Lotus"/>
      <w:b/>
      <w:bCs/>
      <w:i/>
      <w:sz w:val="26"/>
      <w:szCs w:val="34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E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i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E2F"/>
    <w:rPr>
      <w:rFonts w:ascii="Times New Roman" w:eastAsia="Times New Roman" w:hAnsi="Times New Roman" w:cs="Lotus"/>
      <w:b/>
      <w:bCs/>
      <w:i/>
      <w:sz w:val="24"/>
      <w:szCs w:val="34"/>
      <w:lang w:bidi="ar-SA"/>
    </w:rPr>
  </w:style>
  <w:style w:type="character" w:customStyle="1" w:styleId="Heading2Char">
    <w:name w:val="Heading 2 Char"/>
    <w:basedOn w:val="DefaultParagraphFont"/>
    <w:link w:val="Heading2"/>
    <w:rsid w:val="00A75E2F"/>
    <w:rPr>
      <w:rFonts w:ascii="Times New Roman" w:eastAsia="Times New Roman" w:hAnsi="Times New Roman" w:cs="Lotus"/>
      <w:b/>
      <w:bCs/>
      <w:i/>
      <w:sz w:val="26"/>
      <w:szCs w:val="3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E2F"/>
    <w:rPr>
      <w:rFonts w:ascii="Cambria" w:eastAsia="Times New Roman" w:hAnsi="Cambria" w:cs="Times New Roman"/>
      <w:b/>
      <w:bCs/>
      <w:i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2015-10-25T15:41:00Z</dcterms:created>
  <dcterms:modified xsi:type="dcterms:W3CDTF">2016-10-01T10:59:00Z</dcterms:modified>
</cp:coreProperties>
</file>