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1F" w:rsidRDefault="0063501F" w:rsidP="0063501F">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63501F" w:rsidRPr="00BE71D6" w:rsidRDefault="0063501F" w:rsidP="0063501F">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2537963</wp:posOffset>
            </wp:positionH>
            <wp:positionV relativeFrom="paragraph">
              <wp:posOffset>-388189</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8"/>
                    <a:srcRect/>
                    <a:stretch>
                      <a:fillRect/>
                    </a:stretch>
                  </pic:blipFill>
                  <pic:spPr bwMode="auto">
                    <a:xfrm>
                      <a:off x="0" y="0"/>
                      <a:ext cx="829250" cy="1199072"/>
                    </a:xfrm>
                    <a:prstGeom prst="rect">
                      <a:avLst/>
                    </a:prstGeom>
                    <a:noFill/>
                    <a:ln w="9525">
                      <a:noFill/>
                      <a:miter lim="800000"/>
                      <a:headEnd/>
                      <a:tailEnd/>
                    </a:ln>
                  </pic:spPr>
                </pic:pic>
              </a:graphicData>
            </a:graphic>
          </wp:anchor>
        </w:drawing>
      </w:r>
    </w:p>
    <w:p w:rsidR="0063501F" w:rsidRDefault="0063501F" w:rsidP="0063501F">
      <w:pPr>
        <w:pStyle w:val="Heading6"/>
        <w:spacing w:line="240" w:lineRule="auto"/>
        <w:rPr>
          <w:sz w:val="40"/>
          <w:szCs w:val="40"/>
          <w:rtl/>
          <w:lang w:bidi="fa-IR"/>
        </w:rPr>
      </w:pPr>
    </w:p>
    <w:p w:rsidR="0063501F" w:rsidRDefault="0063501F" w:rsidP="0063501F">
      <w:pPr>
        <w:pStyle w:val="Heading6"/>
        <w:spacing w:line="240" w:lineRule="auto"/>
        <w:rPr>
          <w:sz w:val="40"/>
          <w:szCs w:val="40"/>
          <w:rtl/>
          <w:lang w:bidi="fa-IR"/>
        </w:rPr>
      </w:pPr>
    </w:p>
    <w:bookmarkEnd w:id="0"/>
    <w:p w:rsidR="00716CE6" w:rsidRPr="00016E2E" w:rsidRDefault="00716CE6" w:rsidP="00716CE6">
      <w:pPr>
        <w:pStyle w:val="Heading6"/>
        <w:spacing w:line="240" w:lineRule="auto"/>
        <w:rPr>
          <w:sz w:val="28"/>
          <w:szCs w:val="28"/>
          <w:lang w:bidi="fa-IR"/>
        </w:rPr>
      </w:pPr>
      <w:r w:rsidRPr="00016E2E">
        <w:rPr>
          <w:rFonts w:hint="cs"/>
          <w:sz w:val="28"/>
          <w:szCs w:val="28"/>
          <w:rtl/>
        </w:rPr>
        <w:t>دانشگا</w:t>
      </w:r>
      <w:r w:rsidRPr="00016E2E">
        <w:rPr>
          <w:rFonts w:hint="cs"/>
          <w:sz w:val="28"/>
          <w:szCs w:val="28"/>
          <w:rtl/>
          <w:lang w:bidi="fa-IR"/>
        </w:rPr>
        <w:t xml:space="preserve">ه آزاد اسلامي </w:t>
      </w:r>
    </w:p>
    <w:p w:rsidR="00716CE6" w:rsidRPr="00016E2E" w:rsidRDefault="00716CE6" w:rsidP="00716CE6">
      <w:pPr>
        <w:pStyle w:val="Heading6"/>
        <w:spacing w:line="240" w:lineRule="auto"/>
        <w:rPr>
          <w:sz w:val="28"/>
          <w:szCs w:val="28"/>
          <w:rtl/>
          <w:lang w:bidi="fa-IR"/>
        </w:rPr>
      </w:pPr>
      <w:r w:rsidRPr="00016E2E">
        <w:rPr>
          <w:rFonts w:hint="cs"/>
          <w:sz w:val="28"/>
          <w:szCs w:val="28"/>
          <w:rtl/>
          <w:lang w:bidi="fa-IR"/>
        </w:rPr>
        <w:t xml:space="preserve"> واحد تهران مرکز</w:t>
      </w:r>
    </w:p>
    <w:p w:rsidR="00716CE6" w:rsidRDefault="00716CE6" w:rsidP="00716CE6">
      <w:pPr>
        <w:jc w:val="center"/>
        <w:rPr>
          <w:rFonts w:cs="B Titr"/>
          <w:b/>
          <w:bCs/>
          <w:sz w:val="38"/>
          <w:szCs w:val="38"/>
          <w:rtl/>
        </w:rPr>
      </w:pPr>
    </w:p>
    <w:p w:rsidR="00716CE6" w:rsidRDefault="00716CE6" w:rsidP="00716CE6">
      <w:pPr>
        <w:rPr>
          <w:rFonts w:cs="B Titr" w:hint="cs"/>
          <w:b/>
          <w:bCs/>
          <w:sz w:val="42"/>
          <w:szCs w:val="42"/>
          <w:rtl/>
        </w:rPr>
      </w:pPr>
    </w:p>
    <w:p w:rsidR="00716CE6" w:rsidRPr="000C38E7" w:rsidRDefault="00716CE6" w:rsidP="00716CE6">
      <w:pPr>
        <w:jc w:val="center"/>
        <w:rPr>
          <w:rFonts w:cs="B Titr"/>
          <w:b/>
          <w:bCs/>
          <w:sz w:val="40"/>
          <w:szCs w:val="40"/>
          <w:rtl/>
        </w:rPr>
      </w:pPr>
      <w:r w:rsidRPr="000C38E7">
        <w:rPr>
          <w:rFonts w:cs="B Titr" w:hint="cs"/>
          <w:b/>
          <w:bCs/>
          <w:sz w:val="40"/>
          <w:szCs w:val="40"/>
          <w:rtl/>
        </w:rPr>
        <w:t>موضوع:</w:t>
      </w:r>
    </w:p>
    <w:p w:rsidR="00716CE6" w:rsidRPr="0003367E" w:rsidRDefault="00716CE6" w:rsidP="00716CE6">
      <w:pPr>
        <w:jc w:val="center"/>
        <w:rPr>
          <w:rFonts w:cs="B Jadid"/>
          <w:b/>
          <w:bCs/>
          <w:sz w:val="30"/>
          <w:szCs w:val="30"/>
          <w:rtl/>
        </w:rPr>
      </w:pPr>
    </w:p>
    <w:p w:rsidR="00716CE6" w:rsidRPr="000C38E7" w:rsidRDefault="00716CE6" w:rsidP="00716CE6">
      <w:pPr>
        <w:jc w:val="center"/>
        <w:rPr>
          <w:rFonts w:cs="B Titr" w:hint="cs"/>
          <w:b/>
          <w:bCs/>
          <w:sz w:val="48"/>
          <w:szCs w:val="48"/>
          <w:rtl/>
        </w:rPr>
      </w:pPr>
      <w:bookmarkStart w:id="1" w:name="_GoBack"/>
      <w:r w:rsidRPr="00D41DE5">
        <w:rPr>
          <w:rFonts w:cs="B Titr" w:hint="cs"/>
          <w:b/>
          <w:bCs/>
          <w:sz w:val="48"/>
          <w:szCs w:val="48"/>
          <w:rtl/>
        </w:rPr>
        <w:t xml:space="preserve">نشانه شناسي </w:t>
      </w:r>
      <w:r>
        <w:rPr>
          <w:rFonts w:cs="B Titr" w:hint="cs"/>
          <w:b/>
          <w:bCs/>
          <w:sz w:val="48"/>
          <w:szCs w:val="48"/>
          <w:rtl/>
        </w:rPr>
        <w:t>، الگوی نظری</w:t>
      </w:r>
      <w:r w:rsidRPr="000C38E7">
        <w:rPr>
          <w:rFonts w:cs="B Titr" w:hint="cs"/>
          <w:b/>
          <w:bCs/>
          <w:sz w:val="48"/>
          <w:szCs w:val="48"/>
          <w:rtl/>
        </w:rPr>
        <w:t xml:space="preserve"> و تاویل کنش</w:t>
      </w:r>
      <w:r>
        <w:rPr>
          <w:rFonts w:cs="B Titr" w:hint="cs"/>
          <w:b/>
          <w:bCs/>
          <w:sz w:val="48"/>
          <w:szCs w:val="48"/>
          <w:rtl/>
        </w:rPr>
        <w:t xml:space="preserve"> </w:t>
      </w:r>
      <w:r w:rsidRPr="00D41DE5">
        <w:rPr>
          <w:rFonts w:cs="B Titr" w:hint="cs"/>
          <w:b/>
          <w:bCs/>
          <w:sz w:val="48"/>
          <w:szCs w:val="48"/>
          <w:rtl/>
        </w:rPr>
        <w:t>بازيگر</w:t>
      </w:r>
      <w:bookmarkEnd w:id="1"/>
    </w:p>
    <w:p w:rsidR="0063501F" w:rsidRDefault="0063501F" w:rsidP="0063501F">
      <w:pPr>
        <w:rPr>
          <w:rtl/>
        </w:rPr>
      </w:pPr>
    </w:p>
    <w:p w:rsidR="0063501F" w:rsidRDefault="0063501F" w:rsidP="0063501F">
      <w:pPr>
        <w:spacing w:line="360" w:lineRule="auto"/>
        <w:jc w:val="center"/>
        <w:rPr>
          <w:rFonts w:cs="B Titr"/>
          <w:b/>
          <w:bCs/>
          <w:sz w:val="88"/>
          <w:szCs w:val="88"/>
          <w:rtl/>
        </w:rPr>
      </w:pPr>
    </w:p>
    <w:p w:rsidR="0063501F" w:rsidRPr="00FA4D20" w:rsidRDefault="00E41C51" w:rsidP="00E41C51">
      <w:pPr>
        <w:spacing w:line="360" w:lineRule="auto"/>
        <w:rPr>
          <w:rFonts w:cs="2  Homa"/>
          <w:sz w:val="28"/>
          <w:szCs w:val="28"/>
          <w:rtl/>
        </w:rPr>
      </w:pPr>
      <w:r w:rsidRPr="00FA4D20">
        <w:rPr>
          <w:rFonts w:cs="2  Homa"/>
          <w:sz w:val="28"/>
          <w:szCs w:val="28"/>
          <w:rtl/>
        </w:rPr>
        <w:t xml:space="preserve"> </w:t>
      </w:r>
    </w:p>
    <w:p w:rsidR="0063501F" w:rsidRPr="000928C7" w:rsidRDefault="0063501F" w:rsidP="0063501F">
      <w:pPr>
        <w:spacing w:line="360" w:lineRule="auto"/>
        <w:rPr>
          <w:rFonts w:cs="B Titr"/>
          <w:i/>
          <w:iCs/>
          <w:sz w:val="32"/>
          <w:szCs w:val="32"/>
          <w:u w:val="single"/>
          <w:rtl/>
        </w:rPr>
      </w:pPr>
      <w:r>
        <w:rPr>
          <w:rFonts w:cs="2  Homa"/>
          <w:sz w:val="28"/>
          <w:szCs w:val="28"/>
        </w:rPr>
        <w:br w:type="page"/>
      </w:r>
      <w:r w:rsidRPr="000928C7">
        <w:rPr>
          <w:rFonts w:cs="B Titr" w:hint="cs"/>
          <w:i/>
          <w:iCs/>
          <w:sz w:val="32"/>
          <w:szCs w:val="32"/>
          <w:u w:val="single"/>
          <w:rtl/>
        </w:rPr>
        <w:lastRenderedPageBreak/>
        <w:t>فهرس</w:t>
      </w:r>
      <w:r>
        <w:rPr>
          <w:rFonts w:cs="B Titr" w:hint="cs"/>
          <w:i/>
          <w:iCs/>
          <w:sz w:val="32"/>
          <w:szCs w:val="32"/>
          <w:u w:val="single"/>
          <w:rtl/>
        </w:rPr>
        <w:t>ـ</w:t>
      </w:r>
      <w:r w:rsidRPr="000928C7">
        <w:rPr>
          <w:rFonts w:cs="B Titr" w:hint="cs"/>
          <w:i/>
          <w:iCs/>
          <w:sz w:val="32"/>
          <w:szCs w:val="32"/>
          <w:u w:val="single"/>
          <w:rtl/>
        </w:rPr>
        <w:t>ت من</w:t>
      </w:r>
      <w:r>
        <w:rPr>
          <w:rFonts w:cs="B Titr" w:hint="cs"/>
          <w:i/>
          <w:iCs/>
          <w:sz w:val="32"/>
          <w:szCs w:val="32"/>
          <w:u w:val="single"/>
          <w:rtl/>
        </w:rPr>
        <w:t>ـ</w:t>
      </w:r>
      <w:r w:rsidRPr="000928C7">
        <w:rPr>
          <w:rFonts w:cs="B Titr" w:hint="cs"/>
          <w:i/>
          <w:iCs/>
          <w:sz w:val="32"/>
          <w:szCs w:val="32"/>
          <w:u w:val="single"/>
          <w:rtl/>
        </w:rPr>
        <w:t>درج</w:t>
      </w:r>
      <w:r>
        <w:rPr>
          <w:rFonts w:cs="B Titr" w:hint="cs"/>
          <w:i/>
          <w:iCs/>
          <w:sz w:val="32"/>
          <w:szCs w:val="32"/>
          <w:u w:val="single"/>
          <w:rtl/>
        </w:rPr>
        <w:t>ـ</w:t>
      </w:r>
      <w:r w:rsidRPr="000928C7">
        <w:rPr>
          <w:rFonts w:cs="B Titr" w:hint="cs"/>
          <w:i/>
          <w:iCs/>
          <w:sz w:val="32"/>
          <w:szCs w:val="32"/>
          <w:u w:val="single"/>
          <w:rtl/>
        </w:rPr>
        <w:t xml:space="preserve">ات </w:t>
      </w: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فصل 1: مقدمه  نشانه شناسي و خاستگاه فلسفي </w:t>
      </w:r>
    </w:p>
    <w:p w:rsidR="0063501F" w:rsidRDefault="0063501F" w:rsidP="0063501F">
      <w:pPr>
        <w:numPr>
          <w:ilvl w:val="1"/>
          <w:numId w:val="1"/>
        </w:numPr>
        <w:tabs>
          <w:tab w:val="right" w:leader="dot" w:pos="7938"/>
        </w:tabs>
        <w:spacing w:after="0" w:line="360" w:lineRule="auto"/>
        <w:rPr>
          <w:rFonts w:cs="B Yagut"/>
          <w:sz w:val="28"/>
          <w:szCs w:val="28"/>
          <w:rtl/>
        </w:rPr>
      </w:pPr>
      <w:r>
        <w:rPr>
          <w:rFonts w:cs="B Yagut" w:hint="cs"/>
          <w:sz w:val="28"/>
          <w:szCs w:val="28"/>
          <w:rtl/>
        </w:rPr>
        <w:t>نشانه  چيست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نشانه شناسي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ساختارگرايي و نشانه شناسي (  ديدگاه سوسور)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خاستگاه فلسفي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طبقه‌بندي پيرس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نشانه‌هاي طبيعي و نشانه‌هاي مصنوعي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 هدف نشانه‌ها  </w:t>
      </w:r>
      <w:r>
        <w:rPr>
          <w:rFonts w:cs="B Yagut" w:hint="cs"/>
          <w:sz w:val="28"/>
          <w:szCs w:val="28"/>
          <w:rtl/>
        </w:rPr>
        <w:tab/>
      </w:r>
    </w:p>
    <w:p w:rsidR="0063501F" w:rsidRDefault="0063501F" w:rsidP="0063501F">
      <w:pPr>
        <w:numPr>
          <w:ilvl w:val="1"/>
          <w:numId w:val="1"/>
        </w:numPr>
        <w:tabs>
          <w:tab w:val="right" w:leader="dot" w:pos="7938"/>
        </w:tabs>
        <w:spacing w:after="0" w:line="360" w:lineRule="auto"/>
        <w:rPr>
          <w:rFonts w:cs="B Yagut"/>
          <w:sz w:val="28"/>
          <w:szCs w:val="28"/>
        </w:rPr>
      </w:pPr>
      <w:r>
        <w:rPr>
          <w:rFonts w:cs="B Yagut" w:hint="cs"/>
          <w:sz w:val="28"/>
          <w:szCs w:val="28"/>
          <w:rtl/>
        </w:rPr>
        <w:t xml:space="preserve">نظريه‌ي نشانه شناسيك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فصل 2: ملاحظات نظري </w:t>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2-1 در مكتب پراك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2-2 فرايند نشانه شدن  ابژه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2-3 </w:t>
      </w:r>
      <w:r>
        <w:rPr>
          <w:rFonts w:cs="B Yagut"/>
          <w:sz w:val="28"/>
          <w:szCs w:val="28"/>
        </w:rPr>
        <w:t>Semiotics</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2-4 نشانه از ديد سوسور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2-5 نشانه از ديد پيرس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2-6 تكامل دسته‌بندي پيرس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lastRenderedPageBreak/>
        <w:t xml:space="preserve">2-7 ديگر تقسيم‌بندي‌ها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1-2-7 مثلث معنايي آگرن وريچاردز</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2-2-7 الگوي متز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3-2-7 الگوي معنايي فرگر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4-2-7 مربع نشانه شناسي گريماس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5-2-7 الگوي كريستال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2-8 دلالت صريح  و ضمني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2-9 روابط همنشيني و جانشيني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2-10 رمزگان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1-2-10 دسته‌بندي ژان پل سيمون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2-2-10 دسته‌بندي امبرتواكوا</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3-2-10دسته‌بندي بارت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فصل 3: طبقه‌بندي نظام‌هاي نشانه‌اي </w:t>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3-1 طبقه‌بندي كوزان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3-2 طبقه‌بندي اسلين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lastRenderedPageBreak/>
        <w:t xml:space="preserve">3-3 پرسشنامه‌ي پاويس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فصل 4: بازيگر </w:t>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4-1 نشانه‌اي شدن  روي صحنه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4-2 روابط مكاني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4-3 بازيگر و شخصيت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4-4 بازيگر پل ساز </w:t>
      </w:r>
      <w:r>
        <w:rPr>
          <w:rFonts w:cs="B Yagut" w:hint="cs"/>
          <w:sz w:val="28"/>
          <w:szCs w:val="28"/>
          <w:rtl/>
        </w:rPr>
        <w:tab/>
      </w:r>
    </w:p>
    <w:p w:rsidR="0063501F" w:rsidRDefault="0063501F" w:rsidP="0063501F">
      <w:pPr>
        <w:tabs>
          <w:tab w:val="right" w:leader="dot" w:pos="7938"/>
        </w:tabs>
        <w:spacing w:line="360" w:lineRule="auto"/>
        <w:rPr>
          <w:rFonts w:cs="2  Farnaz"/>
          <w:sz w:val="28"/>
          <w:szCs w:val="28"/>
          <w:rtl/>
        </w:rPr>
      </w:pP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 فصل 5: كنش </w:t>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5-1  6عامل سازنده كنش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5-2 الگوي كنشي گرماس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1-5-2 الگوي كنشي گرماس / سجودي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2-5-2 الگوي كنشي گرماس / پرويز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3-5-2 الگوي كنشي گرماس / آلن آستين و جرج ساونا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5-3 اهميت الگوي كنش و محدوديتها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5-4 انواع كنش از ديد  كرالام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5-5 كنش گفتار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lastRenderedPageBreak/>
        <w:t xml:space="preserve">1-5-5 تفاوت مكالمه‌ي دراماتيك از معادل روزمره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2-5-5 طبقه بندي آستين از كنش‌هاي غير بياني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3-5-5 تئودورف،  گزاره و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5-6 نيت و هدف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5-7 زمان كنش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5-8 حركت و نظام نشانه‌هاي حركت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1-5-8 اصول حركت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2-5-8  كاركردهاي حركت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3-5-8 سيگنال حركتي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4-5-8 سه نوع اصلي  صحنه‌اي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5-9 دستگاه  مختصات  سه بعدي كنش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5-10 الزامات ذهني كنش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p>
    <w:p w:rsidR="0063501F" w:rsidRPr="000928C7" w:rsidRDefault="0063501F" w:rsidP="0063501F">
      <w:pPr>
        <w:tabs>
          <w:tab w:val="right" w:leader="dot" w:pos="7938"/>
        </w:tabs>
        <w:spacing w:line="360" w:lineRule="auto"/>
        <w:rPr>
          <w:rFonts w:cs="2  Farnaz"/>
          <w:sz w:val="28"/>
          <w:szCs w:val="28"/>
          <w:rtl/>
        </w:rPr>
      </w:pPr>
      <w:r w:rsidRPr="000928C7">
        <w:rPr>
          <w:rFonts w:cs="2  Farnaz" w:hint="cs"/>
          <w:sz w:val="28"/>
          <w:szCs w:val="28"/>
          <w:rtl/>
        </w:rPr>
        <w:t xml:space="preserve">فصل 6: تأويل كنش </w:t>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6-1 تأويل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6-2 تأويل در مباحث مدرن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lastRenderedPageBreak/>
        <w:t xml:space="preserve">6-3 نيت مولف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6-4 گفتگو با متن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1-6-4 سه درجه‌ي معنا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 2-6-4 پايگان معاني از نظر دانته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3-6-4 انسجام معنايي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4-6-4 انتقاد به نشانه‌ شناسي  - دريدا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6-5 ارتباط رقمي يا قياسي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1-6-5 عناصر ارتباط كلامي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2-6-5 الگوي ساده‌ي ارتباط تئاتري </w:t>
      </w:r>
      <w:r>
        <w:rPr>
          <w:rFonts w:cs="B Yagut" w:hint="cs"/>
          <w:sz w:val="28"/>
          <w:szCs w:val="28"/>
          <w:rtl/>
        </w:rPr>
        <w:tab/>
      </w:r>
    </w:p>
    <w:p w:rsidR="0063501F" w:rsidRDefault="0063501F" w:rsidP="0063501F">
      <w:pPr>
        <w:tabs>
          <w:tab w:val="right" w:leader="dot" w:pos="7938"/>
        </w:tabs>
        <w:spacing w:line="360" w:lineRule="auto"/>
        <w:rPr>
          <w:rFonts w:cs="B Yagut"/>
          <w:sz w:val="28"/>
          <w:szCs w:val="28"/>
          <w:rtl/>
        </w:rPr>
      </w:pPr>
      <w:r>
        <w:rPr>
          <w:rFonts w:cs="B Yagut" w:hint="cs"/>
          <w:sz w:val="28"/>
          <w:szCs w:val="28"/>
          <w:rtl/>
        </w:rPr>
        <w:t xml:space="preserve">6-6 عمليات تفسيري </w:t>
      </w:r>
      <w:r>
        <w:rPr>
          <w:rFonts w:cs="B Yagut" w:hint="cs"/>
          <w:sz w:val="28"/>
          <w:szCs w:val="28"/>
          <w:rtl/>
        </w:rPr>
        <w:tab/>
      </w:r>
    </w:p>
    <w:p w:rsidR="0063501F" w:rsidRPr="000928C7" w:rsidRDefault="0063501F" w:rsidP="0063501F">
      <w:pPr>
        <w:tabs>
          <w:tab w:val="right" w:leader="dot" w:pos="7938"/>
        </w:tabs>
        <w:spacing w:line="360" w:lineRule="auto"/>
        <w:rPr>
          <w:rFonts w:cs="B Yagut"/>
          <w:sz w:val="28"/>
          <w:szCs w:val="28"/>
          <w:rtl/>
        </w:rPr>
      </w:pPr>
      <w:r w:rsidRPr="000928C7">
        <w:rPr>
          <w:rFonts w:cs="B Yagut" w:hint="cs"/>
          <w:sz w:val="28"/>
          <w:szCs w:val="28"/>
          <w:rtl/>
        </w:rPr>
        <w:t xml:space="preserve">6-7 تفسير سه لايه‌اي </w:t>
      </w:r>
      <w:r>
        <w:rPr>
          <w:rFonts w:cs="B Yagut" w:hint="cs"/>
          <w:sz w:val="28"/>
          <w:szCs w:val="28"/>
          <w:rtl/>
        </w:rPr>
        <w:tab/>
      </w:r>
    </w:p>
    <w:p w:rsidR="0063501F" w:rsidRPr="000928C7" w:rsidRDefault="0063501F" w:rsidP="0063501F">
      <w:pPr>
        <w:tabs>
          <w:tab w:val="right" w:leader="dot" w:pos="7938"/>
        </w:tabs>
        <w:spacing w:line="360" w:lineRule="auto"/>
        <w:rPr>
          <w:rFonts w:cs="B Yagut"/>
          <w:sz w:val="28"/>
          <w:szCs w:val="28"/>
          <w:rtl/>
        </w:rPr>
      </w:pPr>
      <w:r w:rsidRPr="000928C7">
        <w:rPr>
          <w:rFonts w:cs="B Yagut" w:hint="cs"/>
          <w:sz w:val="28"/>
          <w:szCs w:val="28"/>
          <w:rtl/>
        </w:rPr>
        <w:t xml:space="preserve">6-8 نشانه شناسي لايه‌اي </w:t>
      </w:r>
      <w:r>
        <w:rPr>
          <w:rFonts w:cs="B Yagut" w:hint="cs"/>
          <w:sz w:val="28"/>
          <w:szCs w:val="28"/>
          <w:rtl/>
        </w:rPr>
        <w:tab/>
      </w:r>
    </w:p>
    <w:p w:rsidR="0063501F" w:rsidRPr="000928C7" w:rsidRDefault="0063501F" w:rsidP="0063501F">
      <w:pPr>
        <w:tabs>
          <w:tab w:val="right" w:leader="dot" w:pos="7938"/>
        </w:tabs>
        <w:spacing w:line="360" w:lineRule="auto"/>
        <w:rPr>
          <w:rFonts w:cs="B Yagut"/>
          <w:sz w:val="28"/>
          <w:szCs w:val="28"/>
          <w:rtl/>
        </w:rPr>
      </w:pPr>
      <w:r w:rsidRPr="000928C7">
        <w:rPr>
          <w:rFonts w:cs="B Yagut" w:hint="cs"/>
          <w:sz w:val="28"/>
          <w:szCs w:val="28"/>
          <w:rtl/>
        </w:rPr>
        <w:t xml:space="preserve">6-9 لنگر نشانه‌ها </w:t>
      </w:r>
      <w:r>
        <w:rPr>
          <w:rFonts w:cs="B Yagut" w:hint="cs"/>
          <w:sz w:val="28"/>
          <w:szCs w:val="28"/>
          <w:rtl/>
        </w:rPr>
        <w:tab/>
      </w:r>
    </w:p>
    <w:p w:rsidR="0063501F" w:rsidRPr="000928C7" w:rsidRDefault="0063501F" w:rsidP="0063501F">
      <w:pPr>
        <w:tabs>
          <w:tab w:val="right" w:leader="dot" w:pos="7938"/>
        </w:tabs>
        <w:spacing w:line="360" w:lineRule="auto"/>
        <w:rPr>
          <w:rFonts w:cs="B Yagut"/>
          <w:sz w:val="28"/>
          <w:szCs w:val="28"/>
          <w:rtl/>
        </w:rPr>
      </w:pPr>
      <w:r w:rsidRPr="000928C7">
        <w:rPr>
          <w:rFonts w:cs="B Yagut" w:hint="cs"/>
          <w:sz w:val="28"/>
          <w:szCs w:val="28"/>
          <w:rtl/>
        </w:rPr>
        <w:t xml:space="preserve">فصل 7: ارزيابي فرضيه و نتيجه‌‌گيري </w:t>
      </w:r>
      <w:r>
        <w:rPr>
          <w:rFonts w:cs="B Yagut" w:hint="cs"/>
          <w:sz w:val="28"/>
          <w:szCs w:val="28"/>
          <w:rtl/>
        </w:rPr>
        <w:tab/>
      </w:r>
    </w:p>
    <w:p w:rsidR="0063501F" w:rsidRDefault="0063501F" w:rsidP="0063501F">
      <w:pPr>
        <w:spacing w:line="360" w:lineRule="auto"/>
        <w:jc w:val="lowKashida"/>
        <w:rPr>
          <w:rFonts w:cs="B Titr"/>
          <w:sz w:val="60"/>
          <w:szCs w:val="60"/>
          <w:rtl/>
        </w:rPr>
      </w:pPr>
      <w:r w:rsidRPr="000928C7">
        <w:rPr>
          <w:rFonts w:cs="B Yagut" w:hint="cs"/>
          <w:sz w:val="28"/>
          <w:szCs w:val="28"/>
          <w:rtl/>
        </w:rPr>
        <w:t xml:space="preserve">فهرست منابع </w:t>
      </w:r>
      <w:r>
        <w:rPr>
          <w:rFonts w:cs="B Yagut" w:hint="cs"/>
          <w:sz w:val="28"/>
          <w:szCs w:val="28"/>
          <w:rtl/>
        </w:rPr>
        <w:tab/>
      </w:r>
    </w:p>
    <w:p w:rsidR="0063501F" w:rsidRDefault="0063501F" w:rsidP="0063501F">
      <w:pPr>
        <w:spacing w:line="360" w:lineRule="auto"/>
        <w:jc w:val="lowKashida"/>
        <w:rPr>
          <w:rFonts w:cs="B Titr"/>
          <w:sz w:val="60"/>
          <w:szCs w:val="60"/>
          <w:rtl/>
        </w:rPr>
      </w:pPr>
    </w:p>
    <w:p w:rsidR="0063501F" w:rsidRDefault="0063501F" w:rsidP="0063501F">
      <w:pPr>
        <w:spacing w:line="360" w:lineRule="auto"/>
        <w:jc w:val="lowKashida"/>
        <w:rPr>
          <w:rFonts w:cs="B Titr"/>
          <w:sz w:val="60"/>
          <w:szCs w:val="60"/>
          <w:rtl/>
        </w:rPr>
      </w:pPr>
    </w:p>
    <w:p w:rsidR="0063501F" w:rsidRDefault="0063501F" w:rsidP="0063501F">
      <w:pPr>
        <w:spacing w:line="360" w:lineRule="auto"/>
        <w:jc w:val="lowKashida"/>
        <w:rPr>
          <w:rFonts w:cs="B Titr"/>
          <w:sz w:val="60"/>
          <w:szCs w:val="60"/>
          <w:rtl/>
        </w:rPr>
      </w:pPr>
    </w:p>
    <w:p w:rsidR="0063501F" w:rsidRDefault="0063501F" w:rsidP="0063501F">
      <w:pPr>
        <w:spacing w:line="360" w:lineRule="auto"/>
        <w:jc w:val="lowKashida"/>
        <w:rPr>
          <w:rFonts w:cs="B Titr"/>
          <w:sz w:val="60"/>
          <w:szCs w:val="60"/>
          <w:rtl/>
        </w:rPr>
      </w:pPr>
    </w:p>
    <w:p w:rsidR="0063501F" w:rsidRDefault="0063501F" w:rsidP="0063501F">
      <w:pPr>
        <w:spacing w:line="360" w:lineRule="auto"/>
        <w:jc w:val="lowKashida"/>
        <w:rPr>
          <w:rFonts w:cs="B Titr"/>
          <w:sz w:val="60"/>
          <w:szCs w:val="60"/>
          <w:rtl/>
        </w:rPr>
      </w:pPr>
    </w:p>
    <w:p w:rsidR="0063501F" w:rsidRPr="00D13918" w:rsidRDefault="0063501F" w:rsidP="0063501F">
      <w:pPr>
        <w:spacing w:line="360" w:lineRule="auto"/>
        <w:jc w:val="lowKashida"/>
        <w:rPr>
          <w:rFonts w:cs="B Titr"/>
          <w:sz w:val="60"/>
          <w:szCs w:val="60"/>
          <w:rtl/>
        </w:rPr>
      </w:pPr>
      <w:r w:rsidRPr="00D13918">
        <w:rPr>
          <w:rFonts w:cs="B Titr" w:hint="cs"/>
          <w:sz w:val="60"/>
          <w:szCs w:val="60"/>
          <w:rtl/>
        </w:rPr>
        <w:t xml:space="preserve">فصل </w:t>
      </w:r>
      <w:r>
        <w:rPr>
          <w:rFonts w:cs="B Titr" w:hint="cs"/>
          <w:sz w:val="60"/>
          <w:szCs w:val="60"/>
          <w:rtl/>
        </w:rPr>
        <w:t>1</w:t>
      </w:r>
      <w:r w:rsidRPr="00D13918">
        <w:rPr>
          <w:rFonts w:cs="B Titr" w:hint="cs"/>
          <w:sz w:val="60"/>
          <w:szCs w:val="60"/>
          <w:rtl/>
        </w:rPr>
        <w:t xml:space="preserve"> : </w:t>
      </w:r>
    </w:p>
    <w:p w:rsidR="0063501F" w:rsidRPr="00D13918" w:rsidRDefault="0063501F" w:rsidP="0063501F">
      <w:pPr>
        <w:spacing w:line="360" w:lineRule="auto"/>
        <w:ind w:firstLine="720"/>
        <w:jc w:val="lowKashida"/>
        <w:rPr>
          <w:rFonts w:cs="B Zar"/>
          <w:b/>
          <w:bCs/>
          <w:sz w:val="54"/>
          <w:szCs w:val="54"/>
          <w:rtl/>
        </w:rPr>
      </w:pPr>
      <w:r w:rsidRPr="00D13918">
        <w:rPr>
          <w:rFonts w:cs="B Zar" w:hint="cs"/>
          <w:b/>
          <w:bCs/>
          <w:sz w:val="54"/>
          <w:szCs w:val="54"/>
          <w:rtl/>
        </w:rPr>
        <w:t xml:space="preserve">مقدمه . نشانه‌ شناسي و خاستگاه فلسفي </w:t>
      </w:r>
    </w:p>
    <w:p w:rsidR="0063501F" w:rsidRPr="000C797A" w:rsidRDefault="0063501F" w:rsidP="0063501F">
      <w:pPr>
        <w:spacing w:line="360" w:lineRule="auto"/>
        <w:jc w:val="lowKashida"/>
        <w:rPr>
          <w:rFonts w:cs="B Titr"/>
          <w:sz w:val="28"/>
          <w:szCs w:val="28"/>
          <w:rtl/>
        </w:rPr>
      </w:pPr>
      <w:r>
        <w:rPr>
          <w:rFonts w:cs="B Yagut"/>
          <w:sz w:val="28"/>
          <w:szCs w:val="28"/>
          <w:rtl/>
        </w:rPr>
        <w:br w:type="page"/>
      </w:r>
      <w:r w:rsidRPr="000C797A">
        <w:rPr>
          <w:rFonts w:cs="B Titr" w:hint="cs"/>
          <w:sz w:val="28"/>
          <w:szCs w:val="28"/>
          <w:rtl/>
        </w:rPr>
        <w:lastRenderedPageBreak/>
        <w:t>نشانه چيست؟</w:t>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«به گفته ام</w:t>
      </w:r>
      <w:r>
        <w:rPr>
          <w:rFonts w:cs="B Yagut" w:hint="cs"/>
          <w:sz w:val="28"/>
          <w:szCs w:val="28"/>
          <w:rtl/>
        </w:rPr>
        <w:t>بر</w:t>
      </w:r>
      <w:r w:rsidRPr="001347CB">
        <w:rPr>
          <w:rFonts w:cs="B Yagut" w:hint="cs"/>
          <w:sz w:val="28"/>
          <w:szCs w:val="28"/>
          <w:rtl/>
        </w:rPr>
        <w:t>تو اكو «نشانه تمامي آن چيزهايي است كه بر پايه قراردادي اجتماعي و از پيش نهاده، چيزي را به جاي چيز ديگري معرفي ميكنند. نشانه شناسي نظريه اي است درباره دروغ»</w:t>
      </w:r>
      <w:r w:rsidRPr="001347CB">
        <w:rPr>
          <w:rStyle w:val="FootnoteReference"/>
          <w:rFonts w:cs="B Yagut"/>
          <w:sz w:val="28"/>
          <w:szCs w:val="28"/>
          <w:rtl/>
        </w:rPr>
        <w:footnoteReference w:id="1"/>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 xml:space="preserve">«عناصر يك نمايش دراماتيك- از جمله زبان گفتگوها، دكور، حركت هاي بازيگران، لباس، چهره آرايي، زير و بم صداي بازيگران و بسياري از نشانه هاي ديگر هر يك به روش خود به پيدايش معناي آن نمايش ياري ميرساند. هر عنصر نمايش را ميتوان نشانه اي </w:t>
      </w:r>
      <w:r w:rsidRPr="001347CB">
        <w:rPr>
          <w:rFonts w:cs="B Yagut"/>
          <w:sz w:val="28"/>
          <w:szCs w:val="28"/>
        </w:rPr>
        <w:t>Sign</w:t>
      </w:r>
      <w:r w:rsidRPr="001347CB">
        <w:rPr>
          <w:rFonts w:cs="B Yagut" w:hint="cs"/>
          <w:sz w:val="28"/>
          <w:szCs w:val="28"/>
          <w:rtl/>
        </w:rPr>
        <w:t xml:space="preserve"> دانست كه بخشي از معناي كلي يك صحنه، يك رخداد، يا يك لحظه</w:t>
      </w:r>
      <w:r>
        <w:rPr>
          <w:rFonts w:cs="B Yagut" w:hint="cs"/>
          <w:sz w:val="28"/>
          <w:szCs w:val="28"/>
          <w:rtl/>
        </w:rPr>
        <w:t>‌ي</w:t>
      </w:r>
      <w:r w:rsidRPr="001347CB">
        <w:rPr>
          <w:rFonts w:cs="B Yagut" w:hint="cs"/>
          <w:sz w:val="28"/>
          <w:szCs w:val="28"/>
          <w:rtl/>
        </w:rPr>
        <w:t xml:space="preserve"> رويداد را در خود دارد.»</w:t>
      </w:r>
      <w:r w:rsidRPr="001347CB">
        <w:rPr>
          <w:rStyle w:val="FootnoteReference"/>
          <w:rFonts w:cs="B Yagut"/>
          <w:sz w:val="28"/>
          <w:szCs w:val="28"/>
          <w:rtl/>
        </w:rPr>
        <w:footnoteReference w:id="2"/>
      </w:r>
    </w:p>
    <w:p w:rsidR="0063501F" w:rsidRPr="00BA1A62" w:rsidRDefault="0063501F" w:rsidP="0063501F">
      <w:pPr>
        <w:spacing w:line="360" w:lineRule="auto"/>
        <w:jc w:val="lowKashida"/>
        <w:rPr>
          <w:rFonts w:cs="B Titr"/>
          <w:sz w:val="28"/>
          <w:szCs w:val="28"/>
          <w:rtl/>
        </w:rPr>
      </w:pPr>
      <w:r>
        <w:rPr>
          <w:rFonts w:cs="B Titr"/>
          <w:sz w:val="28"/>
          <w:szCs w:val="28"/>
          <w:rtl/>
        </w:rPr>
        <w:br w:type="page"/>
      </w:r>
      <w:r w:rsidRPr="00BA1A62">
        <w:rPr>
          <w:rFonts w:cs="B Titr" w:hint="cs"/>
          <w:sz w:val="28"/>
          <w:szCs w:val="28"/>
          <w:rtl/>
        </w:rPr>
        <w:lastRenderedPageBreak/>
        <w:t>نشانه شناسي</w:t>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«نشانه شناسي، شاخه اي از دانش بشري است كه موضوعش نشانه ها و چگونگي كاربرد آنها براي ارتباط ميان انسان ها و براي انتقال معناست.»</w:t>
      </w:r>
      <w:r w:rsidRPr="001347CB">
        <w:rPr>
          <w:rStyle w:val="FootnoteReference"/>
          <w:rFonts w:cs="B Yagut"/>
          <w:sz w:val="28"/>
          <w:szCs w:val="28"/>
          <w:rtl/>
        </w:rPr>
        <w:footnoteReference w:id="3"/>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 xml:space="preserve">تعريف نشانه شناسي از نظر كرالام عبارت است از: «علمي است كه به مطالعه چگونگي توليد معني در جامعه مي پردازد. بنابراين نشانه شناسي به يك اندازه به مساله فرايند هاي دلالت و ارتباطات، يعني به مطالعه شيوه هاي توليد و مبادله معني مي پردازد. نشانه شناسي </w:t>
      </w:r>
      <w:r>
        <w:rPr>
          <w:rFonts w:cs="B Yagut" w:hint="cs"/>
          <w:sz w:val="28"/>
          <w:szCs w:val="28"/>
          <w:rtl/>
        </w:rPr>
        <w:t xml:space="preserve">- </w:t>
      </w:r>
      <w:r w:rsidRPr="001347CB">
        <w:rPr>
          <w:rFonts w:cs="B Yagut" w:hint="cs"/>
          <w:sz w:val="28"/>
          <w:szCs w:val="28"/>
          <w:rtl/>
        </w:rPr>
        <w:t>دست كم به شكل آرماني- يك علم چند رشته اي (</w:t>
      </w:r>
      <w:r w:rsidRPr="001347CB">
        <w:rPr>
          <w:rFonts w:cs="B Yagut"/>
          <w:sz w:val="28"/>
          <w:szCs w:val="28"/>
        </w:rPr>
        <w:t>multidisciplinary</w:t>
      </w:r>
      <w:r w:rsidRPr="001347CB">
        <w:rPr>
          <w:rFonts w:cs="B Yagut" w:hint="cs"/>
          <w:sz w:val="28"/>
          <w:szCs w:val="28"/>
          <w:rtl/>
        </w:rPr>
        <w:t>) است كه يك هدف عام مشترك، يعني درك بهتر رفتار معنا دار ا</w:t>
      </w:r>
      <w:r>
        <w:rPr>
          <w:rFonts w:cs="B Yagut" w:hint="cs"/>
          <w:sz w:val="28"/>
          <w:szCs w:val="28"/>
          <w:rtl/>
        </w:rPr>
        <w:t>ن</w:t>
      </w:r>
      <w:r w:rsidRPr="001347CB">
        <w:rPr>
          <w:rFonts w:cs="B Yagut" w:hint="cs"/>
          <w:sz w:val="28"/>
          <w:szCs w:val="28"/>
          <w:rtl/>
        </w:rPr>
        <w:t>سان، به آن وحدت مي بخشد.»</w:t>
      </w:r>
      <w:r w:rsidRPr="001347CB">
        <w:rPr>
          <w:rStyle w:val="FootnoteReference"/>
          <w:rFonts w:cs="B Yagut"/>
          <w:sz w:val="28"/>
          <w:szCs w:val="28"/>
          <w:rtl/>
        </w:rPr>
        <w:footnoteReference w:id="4"/>
      </w:r>
    </w:p>
    <w:p w:rsidR="0063501F" w:rsidRPr="00E630F8" w:rsidRDefault="0063501F" w:rsidP="0063501F">
      <w:pPr>
        <w:spacing w:line="360" w:lineRule="auto"/>
        <w:jc w:val="lowKashida"/>
        <w:rPr>
          <w:rFonts w:cs="B Titr"/>
          <w:b/>
          <w:bCs/>
          <w:sz w:val="28"/>
          <w:szCs w:val="28"/>
          <w:rtl/>
        </w:rPr>
      </w:pPr>
      <w:r>
        <w:rPr>
          <w:rFonts w:cs="B Titr"/>
          <w:b/>
          <w:bCs/>
          <w:sz w:val="28"/>
          <w:szCs w:val="28"/>
          <w:rtl/>
        </w:rPr>
        <w:br w:type="page"/>
      </w:r>
      <w:r w:rsidRPr="00E630F8">
        <w:rPr>
          <w:rFonts w:cs="B Titr" w:hint="cs"/>
          <w:b/>
          <w:bCs/>
          <w:sz w:val="28"/>
          <w:szCs w:val="28"/>
          <w:rtl/>
        </w:rPr>
        <w:lastRenderedPageBreak/>
        <w:t xml:space="preserve">ساختار گرايي و نشانه شناسي </w:t>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«فرديناند دوسوسور زبان شناس سوئيسي، اولين فردي بود كه در قرن حاضر با رويكرد جديدي به مطالعه زبان پرداخت. كتابش (دوره زبان شناسي عمومي) در سال 1915 يعني پس از مرگش منتشر شد. او معتقد به يك مطالعه ساختاري بود كه ابعاد در زماني (تاريخي) و همزماني (معاصر) زبان را شامل ميشد. وي ميان زبان (</w:t>
      </w:r>
      <w:r w:rsidRPr="001347CB">
        <w:rPr>
          <w:rFonts w:cs="B Yagut"/>
          <w:sz w:val="28"/>
          <w:szCs w:val="28"/>
        </w:rPr>
        <w:t>langue</w:t>
      </w:r>
      <w:r w:rsidRPr="001347CB">
        <w:rPr>
          <w:rFonts w:cs="B Yagut" w:hint="cs"/>
          <w:sz w:val="28"/>
          <w:szCs w:val="28"/>
          <w:rtl/>
        </w:rPr>
        <w:t>) و گفتار (</w:t>
      </w:r>
      <w:r w:rsidRPr="001347CB">
        <w:rPr>
          <w:rFonts w:cs="B Yagut"/>
          <w:sz w:val="28"/>
          <w:szCs w:val="28"/>
        </w:rPr>
        <w:t>parole</w:t>
      </w:r>
      <w:r w:rsidRPr="001347CB">
        <w:rPr>
          <w:rFonts w:cs="B Yagut" w:hint="cs"/>
          <w:sz w:val="28"/>
          <w:szCs w:val="28"/>
          <w:rtl/>
        </w:rPr>
        <w:t>) تفاوت قائل بود. تلقي زبان به عنوان يك نظام نشانه شناختي حاصل مطالعات سوسور بود. در اين نظام نشانه شناختي، نشانه زباني (زبان) بيشتر در اصطلاحات دو گانه اي همچون «دال» و «مدلول» يا «صدا</w:t>
      </w:r>
      <w:r>
        <w:rPr>
          <w:rFonts w:cs="B Yagut" w:hint="cs"/>
          <w:sz w:val="28"/>
          <w:szCs w:val="28"/>
          <w:rtl/>
        </w:rPr>
        <w:t>-</w:t>
      </w:r>
      <w:r w:rsidRPr="001347CB">
        <w:rPr>
          <w:rFonts w:cs="B Yagut" w:hint="cs"/>
          <w:sz w:val="28"/>
          <w:szCs w:val="28"/>
          <w:rtl/>
        </w:rPr>
        <w:t xml:space="preserve"> تصوير» و «مفهوم» ارائه گرديد. هر دو وجه نشانه زباني اختياري</w:t>
      </w:r>
      <w:r>
        <w:rPr>
          <w:rFonts w:cs="B Yagut" w:hint="cs"/>
          <w:sz w:val="28"/>
          <w:szCs w:val="28"/>
          <w:rtl/>
        </w:rPr>
        <w:t>‌</w:t>
      </w:r>
      <w:r w:rsidRPr="001347CB">
        <w:rPr>
          <w:rFonts w:cs="B Yagut" w:hint="cs"/>
          <w:sz w:val="28"/>
          <w:szCs w:val="28"/>
          <w:rtl/>
        </w:rPr>
        <w:t xml:space="preserve">اند. به همين دليل، زبان ميتواند نظامي خود تنظيم و انتزاعي و مستعد </w:t>
      </w:r>
      <w:r>
        <w:rPr>
          <w:rFonts w:cs="B Yagut" w:hint="cs"/>
          <w:sz w:val="28"/>
          <w:szCs w:val="28"/>
          <w:rtl/>
        </w:rPr>
        <w:t xml:space="preserve">تأويل </w:t>
      </w:r>
      <w:r w:rsidRPr="001347CB">
        <w:rPr>
          <w:rFonts w:cs="B Yagut" w:hint="cs"/>
          <w:sz w:val="28"/>
          <w:szCs w:val="28"/>
          <w:rtl/>
        </w:rPr>
        <w:t>باشد. از تاثير متقابل شباهت ها و تفاوت هاي ميان دال هاست كه معنا توليد ميشود و براي درك اين معني به يك رويكرد ساختگرا نياز داريم كه در اين رويكرد «اجزاي» زبان در ارتباط با «كل» در نظر گرفته شوند.</w:t>
      </w:r>
      <w:r w:rsidRPr="001347CB">
        <w:rPr>
          <w:rStyle w:val="FootnoteReference"/>
          <w:rFonts w:cs="B Yagut"/>
          <w:sz w:val="28"/>
          <w:szCs w:val="28"/>
          <w:rtl/>
        </w:rPr>
        <w:footnoteReference w:id="5"/>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در نظر ساختگرايان نظام نشانه اي بر چيز هاي عيني و ايده هاي ذهني اولويت دارد و اين اولويت جايگاه جهان ملموس مادي و مفهوم معمول حقيقت را به زير مي كشد. اين موضوع فلسفي عينيت بخشيدن به ايده ها در تداوم فلسفه متا فيزيك قرار دارد و بايد ردپاي آن را در ايده آليسم ابژكتيو يعني در فلسفه هگل يافت چرا كه آن نيز بر نسبت دادن عينيت به ايده ها استوار است و هگل خود ادامه دهنده ديدگاه افلاطون و</w:t>
      </w:r>
      <w:r>
        <w:rPr>
          <w:rFonts w:cs="B Yagut" w:hint="cs"/>
          <w:sz w:val="28"/>
          <w:szCs w:val="28"/>
          <w:rtl/>
        </w:rPr>
        <w:t xml:space="preserve"> </w:t>
      </w:r>
      <w:r w:rsidRPr="001347CB">
        <w:rPr>
          <w:rFonts w:cs="B Yagut" w:hint="cs"/>
          <w:sz w:val="28"/>
          <w:szCs w:val="28"/>
          <w:rtl/>
        </w:rPr>
        <w:t xml:space="preserve">اسپينوزا است. </w:t>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 xml:space="preserve">نظام ايده ها كه اين فيلسوفان </w:t>
      </w:r>
      <w:r>
        <w:rPr>
          <w:rFonts w:cs="B Yagut" w:hint="cs"/>
          <w:sz w:val="28"/>
          <w:szCs w:val="28"/>
          <w:rtl/>
        </w:rPr>
        <w:t>خِرَد</w:t>
      </w:r>
      <w:r w:rsidRPr="001347CB">
        <w:rPr>
          <w:rFonts w:cs="B Yagut" w:hint="cs"/>
          <w:sz w:val="28"/>
          <w:szCs w:val="28"/>
          <w:rtl/>
        </w:rPr>
        <w:t>گرا مطرح ميكنند در درون اذ</w:t>
      </w:r>
      <w:r>
        <w:rPr>
          <w:rFonts w:cs="B Yagut" w:hint="cs"/>
          <w:sz w:val="28"/>
          <w:szCs w:val="28"/>
          <w:rtl/>
        </w:rPr>
        <w:t>ه</w:t>
      </w:r>
      <w:r w:rsidRPr="001347CB">
        <w:rPr>
          <w:rFonts w:cs="B Yagut" w:hint="cs"/>
          <w:sz w:val="28"/>
          <w:szCs w:val="28"/>
          <w:rtl/>
        </w:rPr>
        <w:t>ان سوژه هاي فردي قرار ندارد. براي مثال مثل افلاطون در قلمرويي بي زمان بيرون از جهان تثبيت شده</w:t>
      </w:r>
      <w:r>
        <w:rPr>
          <w:rFonts w:cs="B Yagut" w:hint="cs"/>
          <w:sz w:val="28"/>
          <w:szCs w:val="28"/>
          <w:rtl/>
        </w:rPr>
        <w:t>‌</w:t>
      </w:r>
      <w:r w:rsidRPr="001347CB">
        <w:rPr>
          <w:rFonts w:cs="B Yagut" w:hint="cs"/>
          <w:sz w:val="28"/>
          <w:szCs w:val="28"/>
          <w:rtl/>
        </w:rPr>
        <w:t xml:space="preserve">اند، يا از ديد اسپينوزا </w:t>
      </w:r>
      <w:r w:rsidRPr="001347CB">
        <w:rPr>
          <w:rFonts w:cs="B Yagut" w:hint="cs"/>
          <w:sz w:val="28"/>
          <w:szCs w:val="28"/>
          <w:rtl/>
        </w:rPr>
        <w:lastRenderedPageBreak/>
        <w:t>حالات و صفات خدا، ذاتي و دروني هر گوشه اي از جهان است، چه انسان و چه غير انسان و از ديد هگل مقوله ها در جامعه انساني و در وراي هر سوژه فردي نهادينه شده اند.</w:t>
      </w:r>
      <w:r w:rsidRPr="001347CB">
        <w:rPr>
          <w:rStyle w:val="FootnoteReference"/>
          <w:rFonts w:cs="B Yagut"/>
          <w:sz w:val="28"/>
          <w:szCs w:val="28"/>
          <w:rtl/>
        </w:rPr>
        <w:footnoteReference w:id="6"/>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 از نظر هگل، هنر نماد گرايانه هنوز در جها</w:t>
      </w:r>
      <w:r>
        <w:rPr>
          <w:rFonts w:cs="B Yagut" w:hint="cs"/>
          <w:sz w:val="28"/>
          <w:szCs w:val="28"/>
          <w:rtl/>
        </w:rPr>
        <w:t>ت</w:t>
      </w:r>
      <w:r w:rsidRPr="001347CB">
        <w:rPr>
          <w:rFonts w:cs="B Yagut" w:hint="cs"/>
          <w:sz w:val="28"/>
          <w:szCs w:val="28"/>
          <w:rtl/>
        </w:rPr>
        <w:t xml:space="preserve"> مادي غوطه ور است. مطلق </w:t>
      </w:r>
      <w:r w:rsidRPr="001347CB">
        <w:rPr>
          <w:rFonts w:cs="B Yagut"/>
          <w:sz w:val="28"/>
          <w:szCs w:val="28"/>
        </w:rPr>
        <w:t>Absolute</w:t>
      </w:r>
      <w:r w:rsidRPr="001347CB">
        <w:rPr>
          <w:rFonts w:cs="B Yagut" w:hint="cs"/>
          <w:sz w:val="28"/>
          <w:szCs w:val="28"/>
          <w:rtl/>
        </w:rPr>
        <w:t xml:space="preserve"> پنهان است (مطلق در فلسفه هگل: ايده </w:t>
      </w:r>
      <w:r w:rsidRPr="001347CB">
        <w:rPr>
          <w:rFonts w:cs="B Yagut"/>
          <w:sz w:val="28"/>
          <w:szCs w:val="28"/>
        </w:rPr>
        <w:t>Idea</w:t>
      </w:r>
      <w:r w:rsidRPr="001347CB">
        <w:rPr>
          <w:rFonts w:cs="B Yagut" w:hint="cs"/>
          <w:sz w:val="28"/>
          <w:szCs w:val="28"/>
          <w:rtl/>
        </w:rPr>
        <w:t xml:space="preserve">، خرد </w:t>
      </w:r>
      <w:r w:rsidRPr="001347CB">
        <w:rPr>
          <w:rFonts w:cs="B Yagut"/>
          <w:sz w:val="28"/>
          <w:szCs w:val="28"/>
        </w:rPr>
        <w:t>Mystery</w:t>
      </w:r>
      <w:r w:rsidRPr="001347CB">
        <w:rPr>
          <w:rFonts w:cs="B Yagut" w:hint="cs"/>
          <w:sz w:val="28"/>
          <w:szCs w:val="28"/>
          <w:rtl/>
        </w:rPr>
        <w:t xml:space="preserve">، جان آگاه </w:t>
      </w:r>
      <w:r w:rsidRPr="001347CB">
        <w:rPr>
          <w:rFonts w:cs="B Yagut"/>
          <w:sz w:val="28"/>
          <w:szCs w:val="28"/>
        </w:rPr>
        <w:t>Spirit</w:t>
      </w:r>
      <w:r w:rsidRPr="001347CB">
        <w:rPr>
          <w:rFonts w:cs="B Yagut" w:hint="cs"/>
          <w:sz w:val="28"/>
          <w:szCs w:val="28"/>
          <w:rtl/>
        </w:rPr>
        <w:t xml:space="preserve"> و خدا) و صرفاً به صورت نما</w:t>
      </w:r>
      <w:r>
        <w:rPr>
          <w:rFonts w:cs="B Yagut" w:hint="cs"/>
          <w:sz w:val="28"/>
          <w:szCs w:val="28"/>
          <w:rtl/>
        </w:rPr>
        <w:t>د</w:t>
      </w:r>
      <w:r w:rsidRPr="001347CB">
        <w:rPr>
          <w:rFonts w:cs="B Yagut" w:hint="cs"/>
          <w:sz w:val="28"/>
          <w:szCs w:val="28"/>
          <w:rtl/>
        </w:rPr>
        <w:t xml:space="preserve"> درآمده و به وضوح جلوه گر </w:t>
      </w:r>
      <w:r>
        <w:rPr>
          <w:rFonts w:cs="B Yagut" w:hint="cs"/>
          <w:sz w:val="28"/>
          <w:szCs w:val="28"/>
          <w:rtl/>
        </w:rPr>
        <w:t>ن</w:t>
      </w:r>
      <w:r w:rsidRPr="001347CB">
        <w:rPr>
          <w:rFonts w:cs="B Yagut" w:hint="cs"/>
          <w:sz w:val="28"/>
          <w:szCs w:val="28"/>
          <w:rtl/>
        </w:rPr>
        <w:t>شده است.»</w:t>
      </w:r>
      <w:r w:rsidRPr="001347CB">
        <w:rPr>
          <w:rStyle w:val="FootnoteReference"/>
          <w:rFonts w:cs="B Yagut"/>
          <w:sz w:val="28"/>
          <w:szCs w:val="28"/>
          <w:rtl/>
        </w:rPr>
        <w:footnoteReference w:id="7"/>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با نگاهي به نظريه مثل در كتاب جمهوريت افلاطون (غاري زيرزميني كه در آن مردماني به بند كشيده رو به ديوار و پشت به مدخل غاز نشانده اند. در بيرون آتشي روشن است و پرتو آن به درون غار مي آيد و روي ديوار غار،‌سايه اشيا ديده ميشود)، در مي يابيم كه آنچه ما مي بينيم همه</w:t>
      </w:r>
      <w:r>
        <w:rPr>
          <w:rFonts w:cs="B Yagut" w:hint="cs"/>
          <w:sz w:val="28"/>
          <w:szCs w:val="28"/>
          <w:rtl/>
        </w:rPr>
        <w:t>‌ي</w:t>
      </w:r>
      <w:r w:rsidRPr="001347CB">
        <w:rPr>
          <w:rFonts w:cs="B Yagut" w:hint="cs"/>
          <w:sz w:val="28"/>
          <w:szCs w:val="28"/>
          <w:rtl/>
        </w:rPr>
        <w:t xml:space="preserve"> حقيقت نيست، بخش كوچكي از آن است. اشيا و امور مثل كوه يخ شناور در اقيانوس هستند. بخش كوچك بيرون آمده از آب، نمايان است و بخش عظيم آن (حقيقت) در آب نهان</w:t>
      </w:r>
      <w:r>
        <w:rPr>
          <w:rFonts w:cs="B Yagut" w:hint="cs"/>
          <w:sz w:val="28"/>
          <w:szCs w:val="28"/>
          <w:rtl/>
        </w:rPr>
        <w:t>.</w:t>
      </w:r>
      <w:r w:rsidRPr="001347CB">
        <w:rPr>
          <w:rFonts w:cs="B Yagut" w:hint="cs"/>
          <w:sz w:val="28"/>
          <w:szCs w:val="28"/>
          <w:rtl/>
        </w:rPr>
        <w:t xml:space="preserve"> نمادگرايان در پي يافتن آن بخش مخفي هستند و هر واقعيتي را دليل وجود واقعيتي ژرف تر و رمز آميز تر مي دانند.</w:t>
      </w:r>
      <w:r w:rsidRPr="001347CB">
        <w:rPr>
          <w:rStyle w:val="FootnoteReference"/>
          <w:rFonts w:cs="B Yagut"/>
          <w:sz w:val="28"/>
          <w:szCs w:val="28"/>
          <w:rtl/>
        </w:rPr>
        <w:footnoteReference w:id="8"/>
      </w:r>
      <w:r w:rsidRPr="001347CB">
        <w:rPr>
          <w:rFonts w:cs="B Yagut" w:hint="cs"/>
          <w:sz w:val="28"/>
          <w:szCs w:val="28"/>
          <w:rtl/>
        </w:rPr>
        <w:t xml:space="preserve"> از طرف ديگر با توجه به معني «سمبل: نماد، نشانه، دال، رمز، آيت و نشانه اي از شي </w:t>
      </w:r>
      <w:r>
        <w:rPr>
          <w:rFonts w:cs="B Yagut" w:hint="cs"/>
          <w:sz w:val="28"/>
          <w:szCs w:val="28"/>
          <w:rtl/>
        </w:rPr>
        <w:t>يا</w:t>
      </w:r>
      <w:r w:rsidRPr="001347CB">
        <w:rPr>
          <w:rFonts w:cs="B Yagut" w:hint="cs"/>
          <w:sz w:val="28"/>
          <w:szCs w:val="28"/>
          <w:rtl/>
        </w:rPr>
        <w:t xml:space="preserve"> امري كه شي يا امر ديگر را القا ميكند.»</w:t>
      </w:r>
      <w:r w:rsidRPr="001347CB">
        <w:rPr>
          <w:rStyle w:val="FootnoteReference"/>
          <w:rFonts w:cs="B Yagut"/>
          <w:sz w:val="28"/>
          <w:szCs w:val="28"/>
          <w:rtl/>
        </w:rPr>
        <w:footnoteReference w:id="9"/>
      </w:r>
      <w:r w:rsidRPr="001347CB">
        <w:rPr>
          <w:rFonts w:cs="B Yagut" w:hint="cs"/>
          <w:sz w:val="28"/>
          <w:szCs w:val="28"/>
          <w:rtl/>
        </w:rPr>
        <w:t xml:space="preserve"> كه در نزديكي با علم نشانه شن</w:t>
      </w:r>
      <w:r>
        <w:rPr>
          <w:rFonts w:cs="B Yagut" w:hint="cs"/>
          <w:sz w:val="28"/>
          <w:szCs w:val="28"/>
          <w:rtl/>
        </w:rPr>
        <w:t>اسي است،‌و نيز به گفته يونگ درك</w:t>
      </w:r>
      <w:r w:rsidRPr="001347CB">
        <w:rPr>
          <w:rFonts w:cs="B Yagut" w:hint="cs"/>
          <w:sz w:val="28"/>
          <w:szCs w:val="28"/>
          <w:rtl/>
        </w:rPr>
        <w:t>تاب انسان و سمبول هايش</w:t>
      </w:r>
      <w:r>
        <w:rPr>
          <w:rFonts w:cs="B Yagut" w:hint="cs"/>
          <w:sz w:val="28"/>
          <w:szCs w:val="28"/>
          <w:rtl/>
        </w:rPr>
        <w:t>:</w:t>
      </w:r>
      <w:r w:rsidRPr="001347CB">
        <w:rPr>
          <w:rFonts w:cs="B Yagut" w:hint="cs"/>
          <w:sz w:val="28"/>
          <w:szCs w:val="28"/>
          <w:rtl/>
        </w:rPr>
        <w:t xml:space="preserve"> هر چيز مي تواند اهميت سمبوليك پيدا كند: اشيا طبيعي،‌چيزهاي ساخت انسان، اشيا مجرد و ... در حقيقت همه جهان يك سمبل بالقوه است و در نهايت</w:t>
      </w:r>
      <w:r>
        <w:rPr>
          <w:rFonts w:cs="B Yagut" w:hint="cs"/>
          <w:sz w:val="28"/>
          <w:szCs w:val="28"/>
          <w:rtl/>
        </w:rPr>
        <w:t>،</w:t>
      </w:r>
      <w:r w:rsidRPr="001347CB">
        <w:rPr>
          <w:rFonts w:cs="B Yagut" w:hint="cs"/>
          <w:sz w:val="28"/>
          <w:szCs w:val="28"/>
          <w:rtl/>
        </w:rPr>
        <w:t xml:space="preserve"> دقت در معني «سمبوليت» (استعمال كننده</w:t>
      </w:r>
      <w:r>
        <w:rPr>
          <w:rFonts w:cs="B Yagut" w:hint="cs"/>
          <w:sz w:val="28"/>
          <w:szCs w:val="28"/>
          <w:rtl/>
        </w:rPr>
        <w:t>‌ي</w:t>
      </w:r>
      <w:r w:rsidRPr="001347CB">
        <w:rPr>
          <w:rFonts w:cs="B Yagut" w:hint="cs"/>
          <w:sz w:val="28"/>
          <w:szCs w:val="28"/>
          <w:rtl/>
        </w:rPr>
        <w:t xml:space="preserve"> علائم رمزي، كسي كه با مهارت، افكار خود را با علايم و شواهد بيان ميكند) در كنار اين نكته كه «همه اشيا،‌روي صحنه تبديل به نشانه ميشوند»</w:t>
      </w:r>
      <w:r w:rsidRPr="001347CB">
        <w:rPr>
          <w:rStyle w:val="FootnoteReference"/>
          <w:rFonts w:cs="B Yagut"/>
          <w:sz w:val="28"/>
          <w:szCs w:val="28"/>
          <w:rtl/>
        </w:rPr>
        <w:footnoteReference w:id="10"/>
      </w:r>
      <w:r w:rsidRPr="001347CB">
        <w:rPr>
          <w:rFonts w:cs="B Yagut" w:hint="cs"/>
          <w:sz w:val="28"/>
          <w:szCs w:val="28"/>
          <w:rtl/>
        </w:rPr>
        <w:t xml:space="preserve"> ميتوان تئاتر را اساساً سمبول دانست. از طرف ديگر با توجه به دسته بندي پيرس از انواع نشانه كه در ذيل خواهد آمد، ميتوان نماد را نوع سوم نشانه ناميد و در اين نظر </w:t>
      </w:r>
      <w:r w:rsidRPr="001347CB">
        <w:rPr>
          <w:rFonts w:cs="B Yagut" w:hint="cs"/>
          <w:sz w:val="28"/>
          <w:szCs w:val="28"/>
          <w:rtl/>
        </w:rPr>
        <w:lastRenderedPageBreak/>
        <w:t xml:space="preserve">هگل «هنر نماد گرايي متوجه «كشف» نيروي هاي مبهمي است كه در طبيعت و رويداد هاي اجتماعي،‌تاريخي و انساني وجود دارد» </w:t>
      </w:r>
      <w:r w:rsidRPr="001347CB">
        <w:rPr>
          <w:rStyle w:val="FootnoteReference"/>
          <w:rFonts w:cs="B Yagut"/>
          <w:sz w:val="28"/>
          <w:szCs w:val="28"/>
          <w:rtl/>
        </w:rPr>
        <w:footnoteReference w:id="11"/>
      </w:r>
      <w:r w:rsidRPr="001347CB">
        <w:rPr>
          <w:rFonts w:cs="B Yagut" w:hint="cs"/>
          <w:sz w:val="28"/>
          <w:szCs w:val="28"/>
          <w:rtl/>
        </w:rPr>
        <w:t xml:space="preserve"> كشف را همان «</w:t>
      </w:r>
      <w:r>
        <w:rPr>
          <w:rFonts w:cs="B Yagut" w:hint="cs"/>
          <w:sz w:val="28"/>
          <w:szCs w:val="28"/>
          <w:rtl/>
        </w:rPr>
        <w:t xml:space="preserve">تأويل </w:t>
      </w:r>
      <w:r w:rsidRPr="001347CB">
        <w:rPr>
          <w:rFonts w:cs="B Yagut" w:hint="cs"/>
          <w:sz w:val="28"/>
          <w:szCs w:val="28"/>
          <w:rtl/>
        </w:rPr>
        <w:t xml:space="preserve">و تفسير» به شمار آورد. </w:t>
      </w:r>
    </w:p>
    <w:p w:rsidR="0063501F" w:rsidRPr="001347CB" w:rsidRDefault="0063501F" w:rsidP="0063501F">
      <w:pPr>
        <w:spacing w:line="360" w:lineRule="auto"/>
        <w:jc w:val="lowKashida"/>
        <w:rPr>
          <w:rFonts w:cs="B Yagut"/>
          <w:sz w:val="28"/>
          <w:szCs w:val="28"/>
          <w:rtl/>
        </w:rPr>
      </w:pPr>
      <w:r w:rsidRPr="001347CB">
        <w:rPr>
          <w:rFonts w:cs="B Yagut" w:hint="cs"/>
          <w:sz w:val="28"/>
          <w:szCs w:val="28"/>
          <w:rtl/>
        </w:rPr>
        <w:t xml:space="preserve">پس از سوسور، چارلز. اس. پيرس،‌فيلسوف امريكايي، پيشگام دومين تحول قرن بيستم در زمينه نظام هاي نشانه اي بود. </w:t>
      </w:r>
    </w:p>
    <w:p w:rsidR="00B43D01" w:rsidRDefault="00B43D01"/>
    <w:sectPr w:rsidR="00B43D0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86" w:rsidRDefault="005E0E86" w:rsidP="0063501F">
      <w:pPr>
        <w:spacing w:after="0" w:line="240" w:lineRule="auto"/>
      </w:pPr>
      <w:r>
        <w:separator/>
      </w:r>
    </w:p>
  </w:endnote>
  <w:endnote w:type="continuationSeparator" w:id="0">
    <w:p w:rsidR="005E0E86" w:rsidRDefault="005E0E86" w:rsidP="0063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86" w:rsidRDefault="005E0E86" w:rsidP="0063501F">
      <w:pPr>
        <w:spacing w:after="0" w:line="240" w:lineRule="auto"/>
      </w:pPr>
      <w:r>
        <w:separator/>
      </w:r>
    </w:p>
  </w:footnote>
  <w:footnote w:type="continuationSeparator" w:id="0">
    <w:p w:rsidR="005E0E86" w:rsidRDefault="005E0E86" w:rsidP="0063501F">
      <w:pPr>
        <w:spacing w:after="0" w:line="240" w:lineRule="auto"/>
      </w:pPr>
      <w:r>
        <w:continuationSeparator/>
      </w:r>
    </w:p>
  </w:footnote>
  <w:footnote w:id="1">
    <w:p w:rsidR="0063501F" w:rsidRDefault="0063501F" w:rsidP="0063501F">
      <w:pPr>
        <w:pStyle w:val="FootnoteText"/>
        <w:rPr>
          <w:lang w:bidi="fa-IR"/>
        </w:rPr>
      </w:pPr>
      <w:r>
        <w:rPr>
          <w:rStyle w:val="FootnoteReference"/>
        </w:rPr>
        <w:footnoteRef/>
      </w:r>
      <w:r>
        <w:rPr>
          <w:rtl/>
        </w:rPr>
        <w:t xml:space="preserve"> </w:t>
      </w:r>
      <w:r>
        <w:rPr>
          <w:rFonts w:hint="cs"/>
          <w:rtl/>
          <w:lang w:bidi="fa-IR"/>
        </w:rPr>
        <w:t>-از نشانه هاي تصويري تا متن احمدي ص32</w:t>
      </w:r>
    </w:p>
  </w:footnote>
  <w:footnote w:id="2">
    <w:p w:rsidR="0063501F" w:rsidRDefault="0063501F" w:rsidP="0063501F">
      <w:pPr>
        <w:pStyle w:val="FootnoteText"/>
        <w:rPr>
          <w:lang w:bidi="fa-IR"/>
        </w:rPr>
      </w:pPr>
      <w:r>
        <w:rPr>
          <w:rStyle w:val="FootnoteReference"/>
        </w:rPr>
        <w:footnoteRef/>
      </w:r>
      <w:r>
        <w:rPr>
          <w:rtl/>
        </w:rPr>
        <w:t xml:space="preserve"> </w:t>
      </w:r>
      <w:r>
        <w:rPr>
          <w:rFonts w:hint="cs"/>
          <w:rtl/>
          <w:lang w:bidi="fa-IR"/>
        </w:rPr>
        <w:t>-دنياي درام ص10</w:t>
      </w:r>
    </w:p>
  </w:footnote>
  <w:footnote w:id="3">
    <w:p w:rsidR="0063501F" w:rsidRDefault="0063501F" w:rsidP="0063501F">
      <w:pPr>
        <w:pStyle w:val="FootnoteText"/>
        <w:rPr>
          <w:lang w:bidi="fa-IR"/>
        </w:rPr>
      </w:pPr>
      <w:r>
        <w:rPr>
          <w:rStyle w:val="FootnoteReference"/>
        </w:rPr>
        <w:footnoteRef/>
      </w:r>
      <w:r>
        <w:rPr>
          <w:rtl/>
        </w:rPr>
        <w:t xml:space="preserve"> </w:t>
      </w:r>
      <w:r>
        <w:rPr>
          <w:rFonts w:hint="cs"/>
          <w:rtl/>
          <w:lang w:bidi="fa-IR"/>
        </w:rPr>
        <w:t>-همان ص10</w:t>
      </w:r>
    </w:p>
  </w:footnote>
  <w:footnote w:id="4">
    <w:p w:rsidR="0063501F" w:rsidRDefault="0063501F" w:rsidP="0063501F">
      <w:pPr>
        <w:pStyle w:val="FootnoteText"/>
        <w:rPr>
          <w:lang w:bidi="fa-IR"/>
        </w:rPr>
      </w:pPr>
      <w:r>
        <w:rPr>
          <w:rStyle w:val="FootnoteReference"/>
        </w:rPr>
        <w:footnoteRef/>
      </w:r>
      <w:r>
        <w:rPr>
          <w:rtl/>
        </w:rPr>
        <w:t xml:space="preserve"> </w:t>
      </w:r>
      <w:r>
        <w:rPr>
          <w:rFonts w:hint="cs"/>
          <w:rtl/>
          <w:lang w:bidi="fa-IR"/>
        </w:rPr>
        <w:t>-نشانه شناسي تئاتر و درام ص11</w:t>
      </w:r>
    </w:p>
  </w:footnote>
  <w:footnote w:id="5">
    <w:p w:rsidR="0063501F" w:rsidRDefault="0063501F" w:rsidP="0063501F">
      <w:pPr>
        <w:pStyle w:val="FootnoteText"/>
        <w:rPr>
          <w:lang w:bidi="fa-IR"/>
        </w:rPr>
      </w:pPr>
      <w:r>
        <w:rPr>
          <w:rStyle w:val="FootnoteReference"/>
        </w:rPr>
        <w:footnoteRef/>
      </w:r>
      <w:r>
        <w:rPr>
          <w:rtl/>
        </w:rPr>
        <w:t xml:space="preserve"> </w:t>
      </w:r>
      <w:r>
        <w:rPr>
          <w:rFonts w:hint="cs"/>
          <w:rtl/>
          <w:lang w:bidi="fa-IR"/>
        </w:rPr>
        <w:t>-نشانه شناسي متن و اجراي تئاتري ص16و17</w:t>
      </w:r>
    </w:p>
  </w:footnote>
  <w:footnote w:id="6">
    <w:p w:rsidR="0063501F" w:rsidRDefault="0063501F" w:rsidP="0063501F">
      <w:pPr>
        <w:pStyle w:val="FootnoteText"/>
        <w:rPr>
          <w:lang w:bidi="fa-IR"/>
        </w:rPr>
      </w:pPr>
      <w:r>
        <w:rPr>
          <w:rStyle w:val="FootnoteReference"/>
        </w:rPr>
        <w:footnoteRef/>
      </w:r>
      <w:r>
        <w:rPr>
          <w:rtl/>
        </w:rPr>
        <w:t xml:space="preserve"> </w:t>
      </w:r>
      <w:r>
        <w:rPr>
          <w:rFonts w:hint="cs"/>
          <w:rtl/>
          <w:lang w:bidi="fa-IR"/>
        </w:rPr>
        <w:t>-نشانه شناسي كاربردي ص 66-64</w:t>
      </w:r>
    </w:p>
  </w:footnote>
  <w:footnote w:id="7">
    <w:p w:rsidR="0063501F" w:rsidRDefault="0063501F" w:rsidP="0063501F">
      <w:pPr>
        <w:pStyle w:val="FootnoteText"/>
        <w:rPr>
          <w:lang w:bidi="fa-IR"/>
        </w:rPr>
      </w:pPr>
      <w:r>
        <w:rPr>
          <w:rStyle w:val="FootnoteReference"/>
        </w:rPr>
        <w:footnoteRef/>
      </w:r>
      <w:r>
        <w:rPr>
          <w:rtl/>
        </w:rPr>
        <w:t xml:space="preserve"> </w:t>
      </w:r>
      <w:r>
        <w:rPr>
          <w:rFonts w:hint="cs"/>
          <w:rtl/>
          <w:lang w:bidi="fa-IR"/>
        </w:rPr>
        <w:t>-نمادگرايي در ادبيات نمايشي جلد 1 ص 65</w:t>
      </w:r>
    </w:p>
  </w:footnote>
  <w:footnote w:id="8">
    <w:p w:rsidR="0063501F" w:rsidRDefault="0063501F" w:rsidP="0063501F">
      <w:pPr>
        <w:pStyle w:val="FootnoteText"/>
        <w:rPr>
          <w:lang w:bidi="fa-IR"/>
        </w:rPr>
      </w:pPr>
      <w:r>
        <w:rPr>
          <w:rStyle w:val="FootnoteReference"/>
        </w:rPr>
        <w:footnoteRef/>
      </w:r>
      <w:r>
        <w:rPr>
          <w:rtl/>
        </w:rPr>
        <w:t xml:space="preserve"> </w:t>
      </w:r>
      <w:r>
        <w:rPr>
          <w:rFonts w:hint="cs"/>
          <w:rtl/>
          <w:lang w:bidi="fa-IR"/>
        </w:rPr>
        <w:t>-نماد گرايي. ناظر زاده جلد 2. نتيجه گيري و كليات ص 660</w:t>
      </w:r>
    </w:p>
  </w:footnote>
  <w:footnote w:id="9">
    <w:p w:rsidR="0063501F" w:rsidRDefault="0063501F" w:rsidP="0063501F">
      <w:pPr>
        <w:pStyle w:val="FootnoteText"/>
        <w:rPr>
          <w:lang w:bidi="fa-IR"/>
        </w:rPr>
      </w:pPr>
      <w:r>
        <w:rPr>
          <w:rStyle w:val="FootnoteReference"/>
        </w:rPr>
        <w:footnoteRef/>
      </w:r>
      <w:r>
        <w:rPr>
          <w:rtl/>
        </w:rPr>
        <w:t xml:space="preserve"> </w:t>
      </w:r>
      <w:r>
        <w:rPr>
          <w:rFonts w:hint="cs"/>
          <w:rtl/>
          <w:lang w:bidi="fa-IR"/>
        </w:rPr>
        <w:t xml:space="preserve">-فرهنگ انگليسي به فارسي آرين پور. </w:t>
      </w:r>
    </w:p>
  </w:footnote>
  <w:footnote w:id="10">
    <w:p w:rsidR="0063501F" w:rsidRDefault="0063501F" w:rsidP="0063501F">
      <w:pPr>
        <w:pStyle w:val="FootnoteText"/>
        <w:rPr>
          <w:lang w:bidi="fa-IR"/>
        </w:rPr>
      </w:pPr>
      <w:r>
        <w:rPr>
          <w:rStyle w:val="FootnoteReference"/>
        </w:rPr>
        <w:footnoteRef/>
      </w:r>
      <w:r>
        <w:rPr>
          <w:rtl/>
        </w:rPr>
        <w:t xml:space="preserve"> </w:t>
      </w:r>
      <w:r>
        <w:rPr>
          <w:rFonts w:hint="cs"/>
          <w:rtl/>
          <w:lang w:bidi="fa-IR"/>
        </w:rPr>
        <w:t>-نشانه شناسي تئاتر و درام كرالام- در بازنمايي تئاتري همه چيز نشانه است. ص32</w:t>
      </w:r>
    </w:p>
  </w:footnote>
  <w:footnote w:id="11">
    <w:p w:rsidR="0063501F" w:rsidRDefault="0063501F" w:rsidP="0063501F">
      <w:pPr>
        <w:pStyle w:val="FootnoteText"/>
        <w:rPr>
          <w:lang w:bidi="fa-IR"/>
        </w:rPr>
      </w:pPr>
      <w:r>
        <w:rPr>
          <w:rStyle w:val="FootnoteReference"/>
        </w:rPr>
        <w:footnoteRef/>
      </w:r>
      <w:r>
        <w:rPr>
          <w:rtl/>
        </w:rPr>
        <w:t xml:space="preserve"> </w:t>
      </w:r>
      <w:r>
        <w:rPr>
          <w:rFonts w:hint="cs"/>
          <w:rtl/>
          <w:lang w:bidi="fa-IR"/>
        </w:rPr>
        <w:t>-نماد گرايي در ادبيات معاصر ناظر زاده . جلد 1. ص64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31D8"/>
    <w:multiLevelType w:val="multilevel"/>
    <w:tmpl w:val="4076502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501F"/>
    <w:rsid w:val="005E0E86"/>
    <w:rsid w:val="0063501F"/>
    <w:rsid w:val="00716CE6"/>
    <w:rsid w:val="00B43D01"/>
    <w:rsid w:val="00D95ECA"/>
    <w:rsid w:val="00E41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C105"/>
  <w15:docId w15:val="{CC2468AA-A97D-4EE5-A072-F7E01872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qFormat/>
    <w:rsid w:val="0063501F"/>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501F"/>
    <w:rPr>
      <w:rFonts w:ascii="Times New Roman" w:eastAsia="Times New Roman" w:hAnsi="Times New Roman" w:cs="B Titr"/>
      <w:sz w:val="34"/>
      <w:szCs w:val="36"/>
      <w:lang w:bidi="ar-SA"/>
    </w:rPr>
  </w:style>
  <w:style w:type="paragraph" w:styleId="FootnoteText">
    <w:name w:val="footnote text"/>
    <w:basedOn w:val="Normal"/>
    <w:link w:val="FootnoteTextChar"/>
    <w:semiHidden/>
    <w:rsid w:val="0063501F"/>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63501F"/>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3501F"/>
    <w:rPr>
      <w:vertAlign w:val="superscript"/>
    </w:rPr>
  </w:style>
  <w:style w:type="paragraph" w:styleId="BalloonText">
    <w:name w:val="Balloon Text"/>
    <w:basedOn w:val="Normal"/>
    <w:link w:val="BalloonTextChar"/>
    <w:uiPriority w:val="99"/>
    <w:semiHidden/>
    <w:unhideWhenUsed/>
    <w:rsid w:val="0063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2015-10-25T13:51:00Z</dcterms:created>
  <dcterms:modified xsi:type="dcterms:W3CDTF">2016-09-26T11:25:00Z</dcterms:modified>
</cp:coreProperties>
</file>