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19" w:rsidRDefault="00224A19" w:rsidP="00224A19">
      <w:pPr>
        <w:pStyle w:val="Heading6"/>
        <w:bidi/>
        <w:spacing w:line="266" w:lineRule="auto"/>
        <w:jc w:val="center"/>
        <w:rPr>
          <w:sz w:val="36"/>
        </w:rPr>
      </w:pPr>
      <w:r w:rsidRPr="00224A19">
        <w:rPr>
          <w:rFonts w:cs="B Zar"/>
          <w:b w:val="0"/>
          <w:bCs w:val="0"/>
          <w:sz w:val="28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 w:val="0"/>
          <w:bCs w:val="0"/>
          <w:sz w:val="28"/>
          <w:rtl/>
        </w:rPr>
        <w:br w:type="page"/>
      </w:r>
      <w:bookmarkStart w:id="0" w:name="OLE_LINK2"/>
    </w:p>
    <w:p w:rsidR="00224A19" w:rsidRDefault="00224A19" w:rsidP="00224A19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2476002</wp:posOffset>
            </wp:positionH>
            <wp:positionV relativeFrom="paragraph">
              <wp:posOffset>-230588</wp:posOffset>
            </wp:positionV>
            <wp:extent cx="833976" cy="1200647"/>
            <wp:effectExtent l="19050" t="0" r="4224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76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A19" w:rsidRDefault="00224A19" w:rsidP="00224A19">
      <w:pPr>
        <w:pStyle w:val="Heading6"/>
        <w:jc w:val="center"/>
        <w:rPr>
          <w:sz w:val="40"/>
          <w:szCs w:val="40"/>
          <w:rtl/>
        </w:rPr>
      </w:pPr>
    </w:p>
    <w:p w:rsidR="00224A19" w:rsidRDefault="00224A19" w:rsidP="00224A19">
      <w:pPr>
        <w:pStyle w:val="Heading6"/>
        <w:jc w:val="center"/>
        <w:rPr>
          <w:sz w:val="40"/>
          <w:szCs w:val="40"/>
          <w:rtl/>
        </w:rPr>
      </w:pPr>
    </w:p>
    <w:p w:rsidR="00224A19" w:rsidRDefault="00224A19" w:rsidP="00224A19">
      <w:pPr>
        <w:pStyle w:val="Heading6"/>
        <w:jc w:val="center"/>
        <w:rPr>
          <w:sz w:val="40"/>
          <w:szCs w:val="40"/>
          <w:rtl/>
        </w:rPr>
      </w:pPr>
      <w:r>
        <w:rPr>
          <w:sz w:val="40"/>
          <w:szCs w:val="40"/>
          <w:rtl/>
        </w:rPr>
        <w:t>دانشگاه آزاد اسلامي</w:t>
      </w:r>
    </w:p>
    <w:p w:rsidR="00224A19" w:rsidRDefault="00224A19" w:rsidP="00224A19">
      <w:pPr>
        <w:pStyle w:val="Heading6"/>
        <w:jc w:val="center"/>
        <w:rPr>
          <w:sz w:val="40"/>
          <w:szCs w:val="40"/>
        </w:rPr>
      </w:pPr>
      <w:r>
        <w:rPr>
          <w:sz w:val="40"/>
          <w:szCs w:val="40"/>
          <w:rtl/>
        </w:rPr>
        <w:t>واحد تهران مرکز</w:t>
      </w:r>
    </w:p>
    <w:p w:rsidR="00224A19" w:rsidRDefault="00224A19" w:rsidP="00224A19">
      <w:pPr>
        <w:bidi w:val="0"/>
        <w:jc w:val="center"/>
        <w:rPr>
          <w:rFonts w:cs="B Titr"/>
          <w:b/>
          <w:bCs/>
          <w:sz w:val="38"/>
          <w:szCs w:val="38"/>
          <w:rtl/>
        </w:rPr>
      </w:pPr>
    </w:p>
    <w:p w:rsidR="00224A19" w:rsidRDefault="00224A19" w:rsidP="00224A19">
      <w:pPr>
        <w:bidi w:val="0"/>
        <w:jc w:val="center"/>
        <w:rPr>
          <w:rFonts w:cs="B Titr" w:hint="cs"/>
          <w:b/>
          <w:bCs/>
          <w:sz w:val="42"/>
          <w:szCs w:val="42"/>
          <w:rtl/>
        </w:rPr>
      </w:pPr>
    </w:p>
    <w:p w:rsidR="00224A19" w:rsidRDefault="00224A19" w:rsidP="00224A19">
      <w:pPr>
        <w:bidi w:val="0"/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موضوع:</w:t>
      </w:r>
    </w:p>
    <w:p w:rsidR="00224A19" w:rsidRDefault="00224A19" w:rsidP="00224A19">
      <w:pPr>
        <w:bidi w:val="0"/>
        <w:jc w:val="center"/>
        <w:rPr>
          <w:rFonts w:cs="B Jadid" w:hint="cs"/>
          <w:b/>
          <w:bCs/>
          <w:sz w:val="30"/>
          <w:szCs w:val="30"/>
          <w:rtl/>
        </w:rPr>
      </w:pPr>
    </w:p>
    <w:p w:rsidR="00224A19" w:rsidRDefault="00224A19" w:rsidP="00224A19">
      <w:pPr>
        <w:bidi w:val="0"/>
        <w:jc w:val="center"/>
        <w:rPr>
          <w:rFonts w:cs="B Titr" w:hint="cs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مفهوم شهود در فلسفه اسلامى</w:t>
      </w:r>
    </w:p>
    <w:bookmarkEnd w:id="0"/>
    <w:p w:rsidR="00224A19" w:rsidRDefault="00224A19" w:rsidP="00224A19">
      <w:pPr>
        <w:bidi w:val="0"/>
        <w:rPr>
          <w:rFonts w:cs="B Titr" w:hint="cs"/>
          <w:b/>
          <w:bCs/>
          <w:sz w:val="42"/>
          <w:szCs w:val="4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lastRenderedPageBreak/>
        <w:t xml:space="preserve">مقدمه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مفهوم «شهود»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(1) </w:t>
      </w:r>
      <w:r>
        <w:rPr>
          <w:rFonts w:cs="B Lotus" w:hint="cs"/>
          <w:b w:val="0"/>
          <w:bCs w:val="0"/>
          <w:sz w:val="32"/>
          <w:szCs w:val="32"/>
          <w:rtl/>
        </w:rPr>
        <w:t xml:space="preserve">را مى‏توان در زمينه‏هاى مختلف بررسى كرد. اين مفهوم، در فلسفه جايگاهى رفيع داشته و در تقسيمات اوليه وجود، مباحث علم و عالم و معلوم، شناخت‏شناسى و هستى‏شناسى توسط فلاسفه به مورد بحث گذاشته شده است.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(2) </w:t>
      </w:r>
      <w:r>
        <w:rPr>
          <w:rFonts w:cs="B Lotus" w:hint="cs"/>
          <w:b w:val="0"/>
          <w:bCs w:val="0"/>
          <w:sz w:val="32"/>
          <w:szCs w:val="32"/>
          <w:rtl/>
        </w:rPr>
        <w:t xml:space="preserve">همچنين، مفهوم «شهود» در عرفان و تصوف منزلتى بس ارجمند يافته و عرفا مباحثى ارزشمند در خصوص «شهود» و «حضور» از خود بر جاى نهاده‏اند. در مباحث اخلاقى و فلسفه اخلاق هم برخى صاحب‏نظران به اين واژه عطف توجه كرده و مكتب شهودگرايى در اخلاق، در اواخر قرن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نوزدهم رونق خاصى يافته است.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(3) </w:t>
      </w:r>
      <w:r>
        <w:rPr>
          <w:rFonts w:cs="B Lotus" w:hint="cs"/>
          <w:b w:val="0"/>
          <w:bCs w:val="0"/>
          <w:sz w:val="32"/>
          <w:szCs w:val="32"/>
          <w:rtl/>
        </w:rPr>
        <w:t xml:space="preserve">همين‏طور متكلمان و دين‏شناسان به مناسبت‏هايى مفهوم شهود و پى‏آمدهاى حاصله از آن را مورد مداقه خود قرار داده و در اعتلاى نظر خود به شهود مطلق كه مختص خداى متعال است نائل شده‏اند.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(4)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حال با توجه به گستردگى زمينه بحث و كنكاش علمى در اين واژه، مناسب است تنها به بحث پيرامون يك جنبه آن اكتفا كرده و در موارد ديگر تنها به اشاره‏اى گذرا بسنده كرد. هرچند به يك معنا، بررسى دقيق و موشكافانه يك مفهوم در يك جنبه خاص مستلزم پرداختن به جنبه‏هاى ديگر است. اما به لحاظ محدوديت اين مقاله، تا حد امكان از گستردگى بحث اجتناب خواهد شد. در اين نوشتار، جنبه‏هاى عقلى و يا به تعبير دقيق‏تر جنبه‏هاى فلسفى «شهود ش مورد بررسى قرار گرفته با نگاهى گذرا به سير تاريخى اين بحث و آشنايى با انديشه‏هاى فلاسفه غربى و اسلامى، به كنكاش در اين مبحث‏خواهيم پرداخت. هر چند بايد اذعان داشت تتبع عميق در اين بحث از حوصله يك مقاله خارج بوده و نيازمند مبحثى گسترده و فراگير مى‏باشد. اما اين اعتراف نمى‏بايست مانع پرداختن اجتمالى به آن شود. ابتدا، قبل از پرداختن به هرگونه بحثى، به معانى لغوى و اصطلاحى «شهود» نظر مى‏افكنيم.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</w:p>
    <w:p w:rsidR="00224A19" w:rsidRDefault="00224A19" w:rsidP="00224A19">
      <w:pPr>
        <w:pStyle w:val="Heading3"/>
        <w:bidi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واژه «شهود»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lastRenderedPageBreak/>
        <w:t xml:space="preserve">در بسيارى موارد، واژه «شهود» با واژه «حضور» به يك معنا به كار مى‏رود و بعضا به جاى يكديگر استعمال مى‏شوند. شهود از ريشه «شهد» مشتق شده كه به معناى حضور مى‏باشد. و حضور از ريشه «حضر» در مقابل غيبت‏به كاكر مى‏رود.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(5) </w:t>
      </w:r>
      <w:r>
        <w:rPr>
          <w:rFonts w:cs="B Lotus" w:hint="cs"/>
          <w:b w:val="0"/>
          <w:bCs w:val="0"/>
          <w:sz w:val="32"/>
          <w:szCs w:val="32"/>
          <w:rtl/>
        </w:rPr>
        <w:t xml:space="preserve">هرگاه شهود و حضور به يك معنا گرفته شوند، معناى مقابل اين دو غيبت است. اگر شى‏ء از شى‏ء ديگر غايب بود (غيبت فيزيكى يا معنوى) حضور و يا شهودى صورت نمى‏گيرد. و اگر غيبت‏برطرف شد و دو شى‏ء بدون مانع در كنار يكديگر قرار گرفتند، در اين صورت آن دو شى‏ء براى يكديگر حضور دارند.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(6) </w:t>
      </w:r>
      <w:r>
        <w:rPr>
          <w:rFonts w:cs="B Lotus" w:hint="cs"/>
          <w:b w:val="0"/>
          <w:bCs w:val="0"/>
          <w:sz w:val="32"/>
          <w:szCs w:val="32"/>
          <w:rtl/>
        </w:rPr>
        <w:t xml:space="preserve">در لغت معناى ديگرى براى شهود بيان داشته‏اند كه عبارتند از: وجدان، حدس، كشف، اشراق، ادراك، الهام، وجود و مانند آن.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(7)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در علوم مختلف عقلى، براى اين واژه اصطلاحات متفاوتى وجود دارد. در اصطلاح فلسفى، در بحث معرفت‏شناسى، شهود غالبا به معناى حضور مى‏آيد. در تقسيم‏بندى علم، علم شهودى كه همان علم حضورى است در مقابل علم حصولى قرار مى‏گيرد. در اين‏گونه علم، معلوم در محضر عالم است و عالم به معلوم شهود دارد. در اين صورت مى‏توان گفت عالم و معلوم نسبت‏به يكديگر حضور يا شهود دارند و اتحاد عالم با معلوم صورت مى‏گيرد.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(8)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در اصطلاح عرفانى، واژه شهود معنايى غير از حضور به خود گرفته است. هر چند در مرحله‏اى كه عارف هب شهود حق نايل مى‏شود، حتما حضور هم صدق خواهد كرد. حضور عرفانى در مقابل غيبت است. شهود عرفانى به معناى كشف و مكاشفه است و در اين صورت معنايى مرادف با رؤيت پيدا مى‏كند.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(9)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در اصطلاح اخلاقى، شهود بر يك احساس درونى اطلاق مى‏شود. احساسى كه برخاتسه از درون است و هيچ‏گونه تجربه بيرونى در آن دخالت ندارد. اين احساس مى‏تواند بين خير و شر، حسن و قبح تميز دهد. در اين صورت شهود به يك نوع قضاوت درونى بازگشت مى‏كند كه معناى مرادف با وجدان دارد.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(10)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در اصطلاح كلامى، شهود دو معناى صاعد و نازل به خود گرفته است. در معناى اوليه، شهود به معناى شهادت در مقابل غيبت است. عالم شهادت كه در اصطلاح دينى آمده، همان عالم </w:t>
      </w:r>
      <w:r>
        <w:rPr>
          <w:rFonts w:cs="B Lotus" w:hint="cs"/>
          <w:b w:val="0"/>
          <w:bCs w:val="0"/>
          <w:sz w:val="32"/>
          <w:szCs w:val="32"/>
          <w:rtl/>
        </w:rPr>
        <w:lastRenderedPageBreak/>
        <w:t xml:space="preserve">حسوسات است كه مشهود انسان قرار مى‏گيرد. در مقابل آن عالم غيب است كه از حوسا ظاهرى انسان غايب مى‏باشد. معناى ثانوى شهود كه معناى صاعد و متعاليه‏اى است، تنها در مورد خداى متعال اطلاق مى‏گردد. به اين معنا، تنها خداى متعال شاهد بر همه موجودات بوده و بر همه چيز و همه جا شهود مطلق دارد. </w:t>
      </w:r>
      <w:r>
        <w:rPr>
          <w:rFonts w:cs="B Lotus" w:hint="cs"/>
          <w:b w:val="0"/>
          <w:bCs w:val="0"/>
          <w:sz w:val="32"/>
          <w:szCs w:val="32"/>
          <w:vertAlign w:val="superscript"/>
          <w:rtl/>
        </w:rPr>
        <w:t xml:space="preserve">(11) </w:t>
      </w:r>
    </w:p>
    <w:p w:rsidR="00224A19" w:rsidRDefault="00224A19" w:rsidP="00224A19">
      <w:pPr>
        <w:pStyle w:val="NormalWeb"/>
        <w:jc w:val="lowKashida"/>
        <w:rPr>
          <w:rFonts w:cs="B Lotus" w:hint="cs"/>
          <w:b w:val="0"/>
          <w:bCs w:val="0"/>
          <w:sz w:val="32"/>
          <w:szCs w:val="32"/>
          <w:rtl/>
        </w:rPr>
      </w:pPr>
      <w:r>
        <w:rPr>
          <w:rFonts w:cs="B Lotus" w:hint="cs"/>
          <w:b w:val="0"/>
          <w:bCs w:val="0"/>
          <w:sz w:val="32"/>
          <w:szCs w:val="32"/>
          <w:rtl/>
        </w:rPr>
        <w:t xml:space="preserve">پس از آشنايى كوتاه با معانى و اصطلاحات عقلى مفهوم شهود، ابتدا نظرى اجمالى به اصطلاح عرفانى اخلاقى و كلامى خواهيم انداخت و آن‏گاه اصطلاح فلسفى شهود را بسط بيش‏ترى خواهيم داد. </w:t>
      </w:r>
    </w:p>
    <w:p w:rsidR="00FA1104" w:rsidRDefault="00FA1104">
      <w:pPr>
        <w:rPr>
          <w:rFonts w:hint="cs"/>
        </w:rPr>
      </w:pPr>
    </w:p>
    <w:sectPr w:rsidR="00FA11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24A19"/>
    <w:rsid w:val="00224A19"/>
    <w:rsid w:val="00FA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semiHidden/>
    <w:unhideWhenUsed/>
    <w:qFormat/>
    <w:rsid w:val="00224A1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4A19"/>
    <w:pPr>
      <w:bidi w:val="0"/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24A1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224A19"/>
    <w:rPr>
      <w:b/>
      <w:bCs/>
    </w:rPr>
  </w:style>
  <w:style w:type="paragraph" w:styleId="NormalWeb">
    <w:name w:val="Normal (Web)"/>
    <w:basedOn w:val="Normal"/>
    <w:semiHidden/>
    <w:unhideWhenUsed/>
    <w:rsid w:val="0022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2015-10-25T16:24:00Z</dcterms:created>
  <dcterms:modified xsi:type="dcterms:W3CDTF">2015-10-25T16:25:00Z</dcterms:modified>
</cp:coreProperties>
</file>