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9D" w:rsidRDefault="00AA269D" w:rsidP="00AA269D">
      <w:pPr>
        <w:spacing w:line="560" w:lineRule="atLeast"/>
        <w:rPr>
          <w:rFonts w:cs="Lotus"/>
          <w:b/>
          <w:bCs/>
          <w:szCs w:val="32"/>
        </w:rPr>
      </w:pPr>
    </w:p>
    <w:p w:rsidR="00AA269D" w:rsidRDefault="00AA269D" w:rsidP="00AA269D">
      <w:pPr>
        <w:pStyle w:val="Heading6"/>
        <w:spacing w:line="266" w:lineRule="auto"/>
        <w:jc w:val="center"/>
        <w:rPr>
          <w:sz w:val="36"/>
          <w:rtl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7520" cy="587438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8"/>
          <w:rtl/>
          <w:lang w:bidi="fa-IR"/>
        </w:rPr>
        <w:br w:type="page"/>
      </w:r>
    </w:p>
    <w:p w:rsidR="00AA269D" w:rsidRDefault="00AA269D" w:rsidP="00AA269D">
      <w:pPr>
        <w:pStyle w:val="Heading6"/>
        <w:spacing w:line="266" w:lineRule="auto"/>
        <w:jc w:val="center"/>
        <w:rPr>
          <w:noProof/>
          <w:sz w:val="2"/>
          <w:szCs w:val="4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2496185</wp:posOffset>
            </wp:positionH>
            <wp:positionV relativeFrom="paragraph">
              <wp:posOffset>-279400</wp:posOffset>
            </wp:positionV>
            <wp:extent cx="832485" cy="1200150"/>
            <wp:effectExtent l="19050" t="0" r="5715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269D" w:rsidRDefault="00AA269D" w:rsidP="00AA269D">
      <w:pPr>
        <w:pStyle w:val="Heading6"/>
        <w:spacing w:line="240" w:lineRule="auto"/>
        <w:jc w:val="center"/>
        <w:rPr>
          <w:sz w:val="40"/>
          <w:szCs w:val="40"/>
          <w:rtl/>
          <w:lang w:bidi="fa-IR"/>
        </w:rPr>
      </w:pPr>
    </w:p>
    <w:p w:rsidR="00AA269D" w:rsidRDefault="00AA269D" w:rsidP="00AA269D">
      <w:pPr>
        <w:pStyle w:val="Heading6"/>
        <w:spacing w:line="240" w:lineRule="auto"/>
        <w:jc w:val="center"/>
        <w:rPr>
          <w:sz w:val="40"/>
          <w:szCs w:val="40"/>
          <w:rtl/>
          <w:lang w:bidi="fa-IR"/>
        </w:rPr>
      </w:pPr>
    </w:p>
    <w:p w:rsidR="00C63C77" w:rsidRDefault="00C63C77" w:rsidP="00C63C77">
      <w:pPr>
        <w:pStyle w:val="Heading6"/>
        <w:spacing w:line="240" w:lineRule="auto"/>
        <w:jc w:val="center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</w:rPr>
        <w:t>دانشگا</w:t>
      </w:r>
      <w:r>
        <w:rPr>
          <w:rFonts w:cs="B Zar" w:hint="cs"/>
          <w:sz w:val="24"/>
          <w:szCs w:val="24"/>
          <w:rtl/>
          <w:lang w:bidi="fa-IR"/>
        </w:rPr>
        <w:t>ه آزاد اسلامي</w:t>
      </w:r>
    </w:p>
    <w:p w:rsidR="00C63C77" w:rsidRDefault="00C63C77" w:rsidP="00C63C77">
      <w:pPr>
        <w:pStyle w:val="Heading6"/>
        <w:spacing w:line="240" w:lineRule="auto"/>
        <w:jc w:val="center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واحد تهران مرکز</w:t>
      </w:r>
    </w:p>
    <w:p w:rsidR="00C63C77" w:rsidRDefault="00C63C77" w:rsidP="00C63C77">
      <w:pPr>
        <w:jc w:val="center"/>
        <w:rPr>
          <w:rFonts w:cs="B Zar" w:hint="cs"/>
          <w:b/>
          <w:bCs/>
          <w:sz w:val="38"/>
          <w:szCs w:val="38"/>
          <w:rtl/>
          <w:lang w:bidi="fa-IR"/>
        </w:rPr>
      </w:pPr>
    </w:p>
    <w:p w:rsidR="00C63C77" w:rsidRDefault="00C63C77" w:rsidP="00C63C77">
      <w:pPr>
        <w:jc w:val="center"/>
        <w:rPr>
          <w:rFonts w:cs="B Zar" w:hint="cs"/>
          <w:b/>
          <w:bCs/>
          <w:sz w:val="42"/>
          <w:szCs w:val="42"/>
          <w:rtl/>
          <w:lang w:bidi="fa-IR"/>
        </w:rPr>
      </w:pPr>
    </w:p>
    <w:p w:rsidR="00C63C77" w:rsidRDefault="00C63C77" w:rsidP="00C63C77">
      <w:pPr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  <w:r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p w:rsidR="00C63C77" w:rsidRDefault="00C63C77" w:rsidP="00C63C77">
      <w:pPr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  <w:r>
        <w:rPr>
          <w:rFonts w:cs="B Zar" w:hint="cs"/>
          <w:b/>
          <w:bCs/>
          <w:sz w:val="40"/>
          <w:szCs w:val="40"/>
          <w:rtl/>
          <w:lang w:bidi="fa-IR"/>
        </w:rPr>
        <w:t>کفر در دیوان حافظ</w:t>
      </w:r>
    </w:p>
    <w:p w:rsidR="00C63C77" w:rsidRDefault="00C63C77" w:rsidP="00C63C77">
      <w:pPr>
        <w:spacing w:line="560" w:lineRule="atLeast"/>
        <w:rPr>
          <w:rFonts w:cs="B Zar" w:hint="cs"/>
          <w:b/>
          <w:bCs/>
          <w:szCs w:val="32"/>
          <w:rtl/>
        </w:rPr>
      </w:pPr>
    </w:p>
    <w:p w:rsidR="00C63C77" w:rsidRDefault="00C63C77" w:rsidP="00C63C77">
      <w:pPr>
        <w:spacing w:line="560" w:lineRule="atLeast"/>
        <w:rPr>
          <w:rFonts w:cs="B Zar" w:hint="cs"/>
          <w:b/>
          <w:bCs/>
          <w:szCs w:val="32"/>
          <w:rtl/>
        </w:rPr>
      </w:pPr>
    </w:p>
    <w:p w:rsidR="00C63C77" w:rsidRDefault="00C63C77" w:rsidP="00C63C77">
      <w:pPr>
        <w:spacing w:line="560" w:lineRule="atLeast"/>
        <w:rPr>
          <w:rFonts w:cs="B Zar" w:hint="cs"/>
          <w:b/>
          <w:bCs/>
          <w:szCs w:val="32"/>
          <w:rtl/>
        </w:rPr>
      </w:pPr>
    </w:p>
    <w:p w:rsidR="00C63C77" w:rsidRDefault="00C63C77" w:rsidP="00C63C77">
      <w:pPr>
        <w:spacing w:line="560" w:lineRule="atLeast"/>
        <w:rPr>
          <w:rFonts w:cs="B Zar" w:hint="cs"/>
          <w:b/>
          <w:bCs/>
          <w:szCs w:val="32"/>
          <w:rtl/>
        </w:rPr>
      </w:pPr>
    </w:p>
    <w:p w:rsidR="00C63C77" w:rsidRDefault="00C63C77" w:rsidP="00C63C77">
      <w:pPr>
        <w:spacing w:line="560" w:lineRule="atLeast"/>
        <w:jc w:val="center"/>
        <w:rPr>
          <w:rFonts w:cs="Lotus" w:hint="cs"/>
          <w:b/>
          <w:bCs/>
          <w:szCs w:val="32"/>
          <w:rtl/>
        </w:rPr>
      </w:pPr>
      <w:r>
        <w:rPr>
          <w:rFonts w:cs="Lotus" w:hint="cs"/>
          <w:b/>
          <w:bCs/>
          <w:szCs w:val="32"/>
          <w:rtl/>
        </w:rPr>
        <w:t>استاد راهنما:</w:t>
      </w:r>
    </w:p>
    <w:p w:rsidR="00C63C77" w:rsidRDefault="00C63C77" w:rsidP="00C63C77">
      <w:pPr>
        <w:spacing w:line="560" w:lineRule="atLeast"/>
        <w:jc w:val="center"/>
        <w:rPr>
          <w:rFonts w:cs="Lotus" w:hint="cs"/>
          <w:b/>
          <w:bCs/>
          <w:szCs w:val="32"/>
          <w:rtl/>
        </w:rPr>
      </w:pPr>
    </w:p>
    <w:p w:rsidR="00C63C77" w:rsidRDefault="00C63C77" w:rsidP="00C63C77">
      <w:pPr>
        <w:spacing w:line="560" w:lineRule="atLeast"/>
        <w:jc w:val="center"/>
        <w:rPr>
          <w:rFonts w:cs="Lotus" w:hint="cs"/>
          <w:b/>
          <w:bCs/>
          <w:szCs w:val="32"/>
          <w:rtl/>
        </w:rPr>
      </w:pPr>
    </w:p>
    <w:p w:rsidR="00C63C77" w:rsidRDefault="00C63C77" w:rsidP="00C63C77">
      <w:pPr>
        <w:spacing w:line="560" w:lineRule="atLeast"/>
        <w:jc w:val="center"/>
        <w:rPr>
          <w:rFonts w:cs="Lotus" w:hint="cs"/>
          <w:b/>
          <w:bCs/>
          <w:szCs w:val="32"/>
          <w:rtl/>
        </w:rPr>
      </w:pPr>
      <w:r>
        <w:rPr>
          <w:rFonts w:cs="Lotus" w:hint="cs"/>
          <w:b/>
          <w:bCs/>
          <w:szCs w:val="32"/>
          <w:rtl/>
        </w:rPr>
        <w:t>دانشجو:</w:t>
      </w:r>
    </w:p>
    <w:p w:rsidR="00AA269D" w:rsidRDefault="00AA269D" w:rsidP="00AA269D">
      <w:pPr>
        <w:spacing w:line="560" w:lineRule="atLeast"/>
        <w:rPr>
          <w:rFonts w:cs="Lotus"/>
          <w:b/>
          <w:bCs/>
          <w:szCs w:val="32"/>
          <w:rtl/>
        </w:rPr>
      </w:pPr>
    </w:p>
    <w:p w:rsidR="00AA269D" w:rsidRDefault="00AA269D" w:rsidP="00AA269D">
      <w:pPr>
        <w:spacing w:line="560" w:lineRule="atLeast"/>
        <w:rPr>
          <w:rFonts w:cs="Lotus"/>
          <w:b/>
          <w:bCs/>
          <w:szCs w:val="32"/>
          <w:rtl/>
        </w:rPr>
      </w:pPr>
    </w:p>
    <w:p w:rsidR="00C63C77" w:rsidRDefault="00C63C77" w:rsidP="00AA269D">
      <w:pPr>
        <w:spacing w:line="560" w:lineRule="atLeast"/>
        <w:rPr>
          <w:rFonts w:cs="Lotus"/>
          <w:b/>
          <w:bCs/>
          <w:szCs w:val="32"/>
          <w:rtl/>
        </w:rPr>
      </w:pPr>
    </w:p>
    <w:p w:rsidR="00C63C77" w:rsidRDefault="00C63C77" w:rsidP="00AA269D">
      <w:pPr>
        <w:spacing w:line="560" w:lineRule="atLeast"/>
        <w:rPr>
          <w:rFonts w:cs="Lotus"/>
          <w:b/>
          <w:bCs/>
          <w:szCs w:val="32"/>
          <w:rtl/>
        </w:rPr>
      </w:pPr>
    </w:p>
    <w:p w:rsidR="00C63C77" w:rsidRDefault="00C63C77" w:rsidP="00AA269D">
      <w:pPr>
        <w:spacing w:line="560" w:lineRule="atLeast"/>
        <w:rPr>
          <w:rFonts w:cs="Lotus"/>
          <w:b/>
          <w:bCs/>
          <w:szCs w:val="32"/>
          <w:rtl/>
        </w:rPr>
      </w:pPr>
      <w:bookmarkStart w:id="0" w:name="_GoBack"/>
      <w:bookmarkEnd w:id="0"/>
    </w:p>
    <w:p w:rsidR="00AA269D" w:rsidRDefault="00AA269D" w:rsidP="00AA269D">
      <w:pPr>
        <w:spacing w:line="560" w:lineRule="atLeast"/>
        <w:jc w:val="center"/>
        <w:rPr>
          <w:rFonts w:cs="Lotus"/>
          <w:b/>
          <w:bCs/>
          <w:szCs w:val="32"/>
          <w:rtl/>
        </w:rPr>
      </w:pPr>
      <w:r>
        <w:rPr>
          <w:rFonts w:cs="Lotus" w:hint="cs"/>
          <w:b/>
          <w:bCs/>
          <w:szCs w:val="32"/>
          <w:rtl/>
        </w:rPr>
        <w:lastRenderedPageBreak/>
        <w:t>خلاصه مقاله</w:t>
      </w:r>
    </w:p>
    <w:p w:rsidR="00AA269D" w:rsidRDefault="00AA269D" w:rsidP="00AA269D">
      <w:pPr>
        <w:spacing w:line="560" w:lineRule="atLeast"/>
        <w:jc w:val="center"/>
        <w:rPr>
          <w:rFonts w:cs="Lotus"/>
          <w:b/>
          <w:bCs/>
          <w:szCs w:val="32"/>
          <w:rtl/>
        </w:rPr>
      </w:pPr>
      <w:r>
        <w:rPr>
          <w:rFonts w:cs="Lotus" w:hint="cs"/>
          <w:b/>
          <w:bCs/>
          <w:szCs w:val="32"/>
          <w:rtl/>
        </w:rPr>
        <w:t>مباني و مفاهيم كفر در ديوان حافظ</w:t>
      </w:r>
    </w:p>
    <w:p w:rsidR="00AA269D" w:rsidRDefault="00AA269D" w:rsidP="00AA269D">
      <w:pPr>
        <w:spacing w:line="560" w:lineRule="atLeast"/>
        <w:ind w:firstLine="397"/>
        <w:rPr>
          <w:rFonts w:cs="Lotus"/>
          <w:szCs w:val="32"/>
          <w:rtl/>
        </w:rPr>
      </w:pPr>
      <w:r>
        <w:rPr>
          <w:rFonts w:cs="Lotus" w:hint="cs"/>
          <w:szCs w:val="32"/>
          <w:rtl/>
        </w:rPr>
        <w:t>ما در اين مقاله كه حاصل مطالعه و بررسي خاص مقولة «كفر» در ديوان حافظ و تعدادي از امهات كتب عرفاني است كوشيده ايم تا نشان دهيم:اولاً حافظ علاوه بر وقوف بر معاني گوناگون ديني و قرآني كفر بر معاني عرفاني آن آگاه بوده و در شعر خود به آن معاني نظر داشته، ثانياً كفر بمعني بي ايماني در ديوان او آنچنانكه ويژگي سبك و زبان او يعني ايهام است موهم معناي «كفران» يعني ناسپاسي هم هست؛ سوم آنكه او در بكارگيري كلمات كفر يا كافر قصد اتهام نداشته و خود را در مقام مفتيان متصلب اهل تكفير نمي نشاند، چهارم آنكه او ضمن اطلاع از معاني و مفاهيم رايج كفر معاني و مفاهيم خاص خويش را از كفر بيان داشته و آنگونه كه شيوة ابتكاري و خلاق اوست براي مقولة كفر يا كافري نيز مصاديقي را نشان داده است كه بدون تأمل و درنگ در ديوان او اين تازگي و خلاقيت در اظهار معاني و مصاديق خاص آشكار نمي‌شود؛ پنجم آنكه استفادة او از كلمة كفر يا كافري بيشتر وسيله اي است براي ابراز انزجار و نفرت از رفتار خلاف اخلاق و ديانت مدعيان اخلاق و دينداري و بنابراين كفر مشبه بهي است متناسب با زمان شاعر براي اعمال ناپسند آنان و همة غافلان از حقيقت از جمله ارباب زو و تزوير</w:t>
      </w:r>
      <w:r>
        <w:rPr>
          <w:rFonts w:cs="Lotus" w:hint="cs"/>
          <w:szCs w:val="32"/>
        </w:rPr>
        <w:t xml:space="preserve"> </w:t>
      </w:r>
      <w:r>
        <w:rPr>
          <w:rFonts w:cs="Lotus" w:hint="cs"/>
          <w:szCs w:val="32"/>
          <w:rtl/>
        </w:rPr>
        <w:t>.</w:t>
      </w:r>
    </w:p>
    <w:p w:rsidR="00AA269D" w:rsidRDefault="00AA269D" w:rsidP="00AA269D">
      <w:pPr>
        <w:spacing w:line="560" w:lineRule="atLeast"/>
        <w:ind w:firstLine="397"/>
        <w:rPr>
          <w:rFonts w:cs="Lotus"/>
          <w:szCs w:val="32"/>
          <w:rtl/>
        </w:rPr>
      </w:pPr>
      <w:r>
        <w:rPr>
          <w:rFonts w:cs="Lotus" w:hint="cs"/>
          <w:szCs w:val="32"/>
          <w:rtl/>
        </w:rPr>
        <w:t>بنابراين تفاوت و تازگي اين مصاديق و مفاهيم براي نگارنده او را بر آن داشت تا اين جلوه هاي متفاوت و تازه از مفهوم كفر و مصاديق آنرا در معرض توجه علاقه مندان پژوهشگر قرار دهد.</w:t>
      </w:r>
    </w:p>
    <w:p w:rsidR="00AA269D" w:rsidRDefault="00AA269D" w:rsidP="00AA269D">
      <w:pPr>
        <w:spacing w:line="560" w:lineRule="atLeast"/>
        <w:ind w:firstLine="397"/>
        <w:rPr>
          <w:rFonts w:cs="Lotus"/>
          <w:szCs w:val="32"/>
          <w:rtl/>
        </w:rPr>
      </w:pPr>
      <w:r>
        <w:rPr>
          <w:rFonts w:cs="Lotus" w:hint="cs"/>
          <w:szCs w:val="32"/>
          <w:rtl/>
        </w:rPr>
        <w:t>حاصل كار آنكه در ديوان حافظ هفت كفر يا مظهر و مصداق آن تجلي يافته و ما در اين مقاله آن هفت را مورد ارزيابي قرار داده و مباني و آبشخور اعتقادي آنها را نيز در حد توان و مقدور بيان داشته ايم كه عبارتند از:رنجيدن، بخل و امساك، تكيه بر تقوا و دانش، خزينه داري ميراث خوارگان، خامي، خودبيني و خود رأيي، و سرانجام زرق و ريا كه به تعبير خواجه ، آتش آن «خرمن دين» را خواهد سوخت. تا كه قبول افتد و چه در نظر آيد.</w:t>
      </w:r>
    </w:p>
    <w:p w:rsidR="00AA269D" w:rsidRDefault="00AA269D" w:rsidP="00AA269D">
      <w:pPr>
        <w:spacing w:line="560" w:lineRule="atLeast"/>
        <w:rPr>
          <w:rFonts w:cs="Lotus"/>
          <w:b/>
          <w:bCs/>
          <w:szCs w:val="32"/>
          <w:rtl/>
        </w:rPr>
      </w:pPr>
      <w:r>
        <w:rPr>
          <w:rFonts w:cs="Lotus" w:hint="cs"/>
          <w:b/>
          <w:bCs/>
          <w:szCs w:val="32"/>
          <w:rtl/>
        </w:rPr>
        <w:t>واژه هاي كليدي :كفر، كافري، كفران، حافظ، ديوان حافظ، مباني و مفاهيم كفر</w:t>
      </w:r>
    </w:p>
    <w:p w:rsidR="00790D62" w:rsidRDefault="00790D62"/>
    <w:sectPr w:rsidR="00790D62" w:rsidSect="002F7E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A269D"/>
    <w:rsid w:val="002F7E46"/>
    <w:rsid w:val="00570CB8"/>
    <w:rsid w:val="00790D62"/>
    <w:rsid w:val="00AA269D"/>
    <w:rsid w:val="00C63C77"/>
    <w:rsid w:val="00C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190E"/>
  <w15:docId w15:val="{31237446-7498-4F7A-AF2C-3DC9914D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A269D"/>
    <w:pPr>
      <w:bidi/>
      <w:spacing w:after="0" w:line="840" w:lineRule="atLeast"/>
      <w:jc w:val="lowKashida"/>
    </w:pPr>
    <w:rPr>
      <w:rFonts w:ascii="Times New Roman" w:eastAsia="Times New Roman" w:hAnsi="Times New Roman" w:cs="Traditional Arabic"/>
      <w:sz w:val="28"/>
      <w:szCs w:val="33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69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AA269D"/>
    <w:rPr>
      <w:rFonts w:eastAsiaTheme="minorEastAsia"/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69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2015-09-30T16:48:00Z</dcterms:created>
  <dcterms:modified xsi:type="dcterms:W3CDTF">2016-10-14T08:43:00Z</dcterms:modified>
</cp:coreProperties>
</file>