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F8" w:rsidRDefault="008942F8" w:rsidP="008942F8">
      <w:pPr>
        <w:bidi/>
        <w:jc w:val="center"/>
        <w:rPr>
          <w:rFonts w:cs="B Zar"/>
          <w:b w:val="0"/>
          <w:bCs w:val="0"/>
          <w:sz w:val="38"/>
          <w:szCs w:val="38"/>
          <w:lang w:bidi="fa-IR"/>
        </w:rPr>
      </w:pPr>
      <w:r>
        <w:rPr>
          <w:lang w:bidi="fa-IR"/>
        </w:rPr>
        <w:drawing>
          <wp:anchor distT="0" distB="0" distL="114300" distR="114300" simplePos="0" relativeHeight="251658240" behindDoc="1" locked="0" layoutInCell="1" allowOverlap="1">
            <wp:simplePos x="0" y="0"/>
            <wp:positionH relativeFrom="column">
              <wp:posOffset>2397760</wp:posOffset>
            </wp:positionH>
            <wp:positionV relativeFrom="paragraph">
              <wp:posOffset>-179070</wp:posOffset>
            </wp:positionV>
            <wp:extent cx="877570" cy="1190625"/>
            <wp:effectExtent l="0" t="0" r="0" b="0"/>
            <wp:wrapTight wrapText="bothSides">
              <wp:wrapPolygon edited="0">
                <wp:start x="0" y="0"/>
                <wp:lineTo x="0" y="21427"/>
                <wp:lineTo x="21100" y="21427"/>
                <wp:lineTo x="21100" y="0"/>
                <wp:lineTo x="0" y="0"/>
              </wp:wrapPolygon>
            </wp:wrapTight>
            <wp:docPr id="1" name="Picture 1" descr="a r m  daneshg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 m  daneshga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7570" cy="1190625"/>
                    </a:xfrm>
                    <a:prstGeom prst="rect">
                      <a:avLst/>
                    </a:prstGeom>
                    <a:noFill/>
                  </pic:spPr>
                </pic:pic>
              </a:graphicData>
            </a:graphic>
            <wp14:sizeRelH relativeFrom="page">
              <wp14:pctWidth>0</wp14:pctWidth>
            </wp14:sizeRelH>
            <wp14:sizeRelV relativeFrom="page">
              <wp14:pctHeight>0</wp14:pctHeight>
            </wp14:sizeRelV>
          </wp:anchor>
        </w:drawing>
      </w:r>
    </w:p>
    <w:p w:rsidR="008942F8" w:rsidRDefault="008942F8" w:rsidP="008942F8">
      <w:pPr>
        <w:rPr>
          <w:rFonts w:hint="cs"/>
          <w:b w:val="0"/>
          <w:bCs w:val="0"/>
          <w:sz w:val="48"/>
          <w:szCs w:val="48"/>
          <w:rtl/>
          <w:lang w:bidi="fa-IR"/>
        </w:rPr>
      </w:pPr>
    </w:p>
    <w:p w:rsidR="008942F8" w:rsidRDefault="008942F8" w:rsidP="008942F8">
      <w:pPr>
        <w:bidi/>
        <w:jc w:val="center"/>
        <w:rPr>
          <w:b w:val="0"/>
          <w:bCs w:val="0"/>
          <w:sz w:val="48"/>
          <w:szCs w:val="48"/>
          <w:lang w:bidi="fa-IR"/>
        </w:rPr>
      </w:pPr>
    </w:p>
    <w:p w:rsidR="008942F8" w:rsidRDefault="008942F8" w:rsidP="008942F8">
      <w:pPr>
        <w:bidi/>
        <w:jc w:val="center"/>
        <w:rPr>
          <w:b w:val="0"/>
          <w:bCs w:val="0"/>
          <w:sz w:val="10"/>
          <w:szCs w:val="10"/>
          <w:lang w:bidi="fa-IR"/>
        </w:rPr>
      </w:pPr>
    </w:p>
    <w:p w:rsidR="008942F8" w:rsidRDefault="008942F8" w:rsidP="008942F8">
      <w:pPr>
        <w:bidi/>
        <w:jc w:val="center"/>
        <w:rPr>
          <w:rFonts w:cs="B Zar"/>
          <w:b w:val="0"/>
          <w:bCs w:val="0"/>
          <w:sz w:val="36"/>
          <w:szCs w:val="36"/>
          <w:lang w:bidi="fa-IR"/>
        </w:rPr>
      </w:pPr>
      <w:r>
        <w:rPr>
          <w:rFonts w:cs="B Zar" w:hint="cs"/>
          <w:b w:val="0"/>
          <w:bCs w:val="0"/>
          <w:sz w:val="36"/>
          <w:szCs w:val="36"/>
          <w:rtl/>
          <w:lang w:bidi="fa-IR"/>
        </w:rPr>
        <w:t>دانشگاه آزاد اسلامي</w:t>
      </w:r>
    </w:p>
    <w:p w:rsidR="008942F8" w:rsidRDefault="008942F8" w:rsidP="008942F8">
      <w:pPr>
        <w:bidi/>
        <w:jc w:val="center"/>
        <w:rPr>
          <w:rFonts w:cs="B Zar" w:hint="cs"/>
          <w:b w:val="0"/>
          <w:bCs w:val="0"/>
          <w:sz w:val="36"/>
          <w:szCs w:val="36"/>
          <w:rtl/>
          <w:lang w:bidi="fa-IR"/>
        </w:rPr>
      </w:pPr>
      <w:r>
        <w:rPr>
          <w:rFonts w:cs="B Zar" w:hint="cs"/>
          <w:b w:val="0"/>
          <w:bCs w:val="0"/>
          <w:sz w:val="36"/>
          <w:szCs w:val="36"/>
          <w:rtl/>
          <w:lang w:bidi="fa-IR"/>
        </w:rPr>
        <w:t>واحد شيروان</w:t>
      </w:r>
    </w:p>
    <w:p w:rsidR="008942F8" w:rsidRDefault="008942F8" w:rsidP="008942F8">
      <w:pPr>
        <w:bidi/>
        <w:jc w:val="center"/>
        <w:rPr>
          <w:rFonts w:cs="B Zar" w:hint="cs"/>
          <w:b w:val="0"/>
          <w:bCs w:val="0"/>
          <w:sz w:val="34"/>
          <w:szCs w:val="34"/>
          <w:rtl/>
          <w:lang w:bidi="fa-IR"/>
        </w:rPr>
      </w:pPr>
    </w:p>
    <w:p w:rsidR="008942F8" w:rsidRDefault="008942F8" w:rsidP="008942F8">
      <w:pPr>
        <w:bidi/>
        <w:jc w:val="center"/>
        <w:rPr>
          <w:rFonts w:cs="B Zar" w:hint="cs"/>
          <w:b w:val="0"/>
          <w:bCs w:val="0"/>
          <w:sz w:val="34"/>
          <w:szCs w:val="34"/>
          <w:rtl/>
          <w:lang w:bidi="fa-IR"/>
        </w:rPr>
      </w:pPr>
    </w:p>
    <w:p w:rsidR="008942F8" w:rsidRDefault="008942F8" w:rsidP="008942F8">
      <w:pPr>
        <w:bidi/>
        <w:jc w:val="center"/>
        <w:rPr>
          <w:rFonts w:hint="cs"/>
          <w:b w:val="0"/>
          <w:bCs w:val="0"/>
          <w:sz w:val="10"/>
          <w:szCs w:val="10"/>
          <w:rtl/>
          <w:lang w:bidi="fa-IR"/>
        </w:rPr>
      </w:pPr>
    </w:p>
    <w:p w:rsidR="008942F8" w:rsidRDefault="008942F8" w:rsidP="008942F8">
      <w:pPr>
        <w:bidi/>
        <w:jc w:val="center"/>
        <w:rPr>
          <w:rFonts w:cs="B Zar"/>
          <w:b w:val="0"/>
          <w:bCs w:val="0"/>
          <w:sz w:val="42"/>
          <w:szCs w:val="42"/>
        </w:rPr>
      </w:pPr>
      <w:r>
        <w:rPr>
          <w:rFonts w:cs="B Zar" w:hint="cs"/>
          <w:b w:val="0"/>
          <w:bCs w:val="0"/>
          <w:sz w:val="42"/>
          <w:szCs w:val="42"/>
          <w:rtl/>
        </w:rPr>
        <w:t>موضوع:</w:t>
      </w:r>
    </w:p>
    <w:p w:rsidR="008942F8" w:rsidRPr="008942F8" w:rsidRDefault="008942F8" w:rsidP="008942F8">
      <w:pPr>
        <w:pStyle w:val="Heading1"/>
        <w:numPr>
          <w:ilvl w:val="0"/>
          <w:numId w:val="0"/>
        </w:numPr>
        <w:tabs>
          <w:tab w:val="left" w:pos="720"/>
        </w:tabs>
        <w:ind w:left="116" w:hanging="90"/>
        <w:jc w:val="center"/>
        <w:rPr>
          <w:rFonts w:ascii="Times New Roman" w:hAnsi="Times New Roman" w:cs="B Zar" w:hint="cs"/>
          <w:rtl/>
        </w:rPr>
      </w:pPr>
      <w:r w:rsidRPr="008942F8">
        <w:rPr>
          <w:rFonts w:ascii="Times New Roman" w:hAnsi="Times New Roman" w:cs="B Zar" w:hint="cs"/>
          <w:rtl/>
        </w:rPr>
        <w:t>فرصت ها و چالش هاي عضويت ايران در</w:t>
      </w:r>
      <w:r>
        <w:rPr>
          <w:rFonts w:ascii="Times New Roman" w:hAnsi="Times New Roman" w:cs="B Zar" w:hint="cs"/>
          <w:rtl/>
        </w:rPr>
        <w:t xml:space="preserve"> </w:t>
      </w:r>
      <w:r w:rsidRPr="008942F8">
        <w:rPr>
          <w:rFonts w:ascii="Times New Roman" w:hAnsi="Times New Roman" w:cs="B Zar" w:hint="cs"/>
          <w:rtl/>
        </w:rPr>
        <w:t>سازمان تجارت جهاني</w:t>
      </w:r>
    </w:p>
    <w:p w:rsidR="008942F8" w:rsidRDefault="008942F8" w:rsidP="008942F8">
      <w:pPr>
        <w:bidi/>
        <w:jc w:val="center"/>
        <w:rPr>
          <w:rFonts w:cs="Andalus"/>
          <w:b w:val="0"/>
          <w:bCs w:val="0"/>
          <w:sz w:val="42"/>
          <w:szCs w:val="42"/>
        </w:rPr>
      </w:pPr>
    </w:p>
    <w:p w:rsidR="008942F8" w:rsidRDefault="008942F8" w:rsidP="008942F8">
      <w:pPr>
        <w:bidi/>
        <w:jc w:val="center"/>
        <w:rPr>
          <w:rFonts w:cs="B Zar"/>
          <w:b w:val="0"/>
          <w:bCs w:val="0"/>
          <w:sz w:val="42"/>
          <w:szCs w:val="42"/>
          <w:rtl/>
        </w:rPr>
      </w:pPr>
    </w:p>
    <w:p w:rsidR="008942F8" w:rsidRDefault="008942F8" w:rsidP="008942F8">
      <w:pPr>
        <w:bidi/>
        <w:jc w:val="center"/>
        <w:rPr>
          <w:rFonts w:cs="B Zar" w:hint="cs"/>
          <w:b w:val="0"/>
          <w:bCs w:val="0"/>
          <w:sz w:val="42"/>
          <w:szCs w:val="42"/>
          <w:rtl/>
        </w:rPr>
      </w:pPr>
      <w:r>
        <w:rPr>
          <w:rFonts w:cs="B Zar" w:hint="cs"/>
          <w:b w:val="0"/>
          <w:bCs w:val="0"/>
          <w:sz w:val="42"/>
          <w:szCs w:val="42"/>
          <w:rtl/>
        </w:rPr>
        <w:t>استاد گرامي:</w:t>
      </w:r>
    </w:p>
    <w:p w:rsidR="008942F8" w:rsidRDefault="008942F8" w:rsidP="008942F8">
      <w:pPr>
        <w:bidi/>
        <w:jc w:val="center"/>
        <w:rPr>
          <w:rFonts w:cs="B Zar" w:hint="cs"/>
          <w:b w:val="0"/>
          <w:bCs w:val="0"/>
          <w:sz w:val="42"/>
          <w:szCs w:val="42"/>
          <w:rtl/>
        </w:rPr>
      </w:pPr>
    </w:p>
    <w:p w:rsidR="008942F8" w:rsidRDefault="008942F8" w:rsidP="008942F8">
      <w:pPr>
        <w:bidi/>
        <w:jc w:val="center"/>
        <w:rPr>
          <w:rFonts w:cs="B Zar" w:hint="cs"/>
          <w:b w:val="0"/>
          <w:bCs w:val="0"/>
          <w:sz w:val="42"/>
          <w:szCs w:val="42"/>
          <w:rtl/>
        </w:rPr>
      </w:pPr>
    </w:p>
    <w:p w:rsidR="008942F8" w:rsidRDefault="008942F8" w:rsidP="008942F8">
      <w:pPr>
        <w:bidi/>
        <w:jc w:val="center"/>
        <w:rPr>
          <w:rFonts w:cs="B Zar" w:hint="cs"/>
          <w:b w:val="0"/>
          <w:bCs w:val="0"/>
          <w:sz w:val="42"/>
          <w:szCs w:val="42"/>
          <w:rtl/>
        </w:rPr>
      </w:pPr>
      <w:r>
        <w:rPr>
          <w:rFonts w:cs="B Zar" w:hint="cs"/>
          <w:b w:val="0"/>
          <w:bCs w:val="0"/>
          <w:sz w:val="42"/>
          <w:szCs w:val="42"/>
          <w:rtl/>
        </w:rPr>
        <w:t>گردآوري :</w:t>
      </w:r>
    </w:p>
    <w:p w:rsidR="00687032" w:rsidRDefault="00687032" w:rsidP="00687032">
      <w:pPr>
        <w:pStyle w:val="Title"/>
        <w:ind w:left="-35" w:firstLine="35"/>
        <w:rPr>
          <w:rFonts w:cs="B Zar"/>
          <w:b w:val="0"/>
          <w:bCs w:val="0"/>
          <w:sz w:val="18"/>
          <w:szCs w:val="18"/>
          <w:rtl/>
        </w:rPr>
      </w:pPr>
    </w:p>
    <w:p w:rsidR="008942F8" w:rsidRDefault="008942F8" w:rsidP="00687032">
      <w:pPr>
        <w:pStyle w:val="Title"/>
        <w:ind w:left="-35" w:firstLine="35"/>
        <w:rPr>
          <w:rFonts w:cs="B Zar"/>
          <w:b w:val="0"/>
          <w:bCs w:val="0"/>
          <w:sz w:val="18"/>
          <w:szCs w:val="18"/>
          <w:rtl/>
        </w:rPr>
      </w:pPr>
    </w:p>
    <w:p w:rsidR="008942F8" w:rsidRDefault="008942F8" w:rsidP="00687032">
      <w:pPr>
        <w:pStyle w:val="Title"/>
        <w:ind w:left="-35" w:firstLine="35"/>
        <w:rPr>
          <w:rFonts w:cs="B Zar"/>
          <w:b w:val="0"/>
          <w:bCs w:val="0"/>
          <w:sz w:val="18"/>
          <w:szCs w:val="18"/>
          <w:rtl/>
        </w:rPr>
      </w:pPr>
    </w:p>
    <w:p w:rsidR="008942F8" w:rsidRDefault="008942F8" w:rsidP="00687032">
      <w:pPr>
        <w:pStyle w:val="Title"/>
        <w:ind w:left="-35" w:firstLine="35"/>
        <w:rPr>
          <w:rFonts w:cs="B Zar"/>
          <w:b w:val="0"/>
          <w:bCs w:val="0"/>
          <w:sz w:val="18"/>
          <w:szCs w:val="18"/>
          <w:rtl/>
        </w:rPr>
      </w:pPr>
    </w:p>
    <w:p w:rsidR="008942F8" w:rsidRDefault="008942F8" w:rsidP="00687032">
      <w:pPr>
        <w:pStyle w:val="Title"/>
        <w:ind w:left="-35" w:firstLine="35"/>
        <w:rPr>
          <w:rFonts w:cs="B Zar"/>
          <w:b w:val="0"/>
          <w:bCs w:val="0"/>
          <w:sz w:val="18"/>
          <w:szCs w:val="18"/>
          <w:rtl/>
        </w:rPr>
      </w:pPr>
    </w:p>
    <w:p w:rsidR="008942F8" w:rsidRDefault="008942F8" w:rsidP="00687032">
      <w:pPr>
        <w:pStyle w:val="Title"/>
        <w:ind w:left="-35" w:firstLine="35"/>
        <w:rPr>
          <w:rFonts w:cs="B Zar"/>
          <w:b w:val="0"/>
          <w:bCs w:val="0"/>
          <w:sz w:val="18"/>
          <w:szCs w:val="18"/>
          <w:rtl/>
        </w:rPr>
      </w:pPr>
    </w:p>
    <w:p w:rsidR="008942F8" w:rsidRDefault="008942F8" w:rsidP="00687032">
      <w:pPr>
        <w:pStyle w:val="Title"/>
        <w:ind w:left="-35" w:firstLine="35"/>
        <w:rPr>
          <w:rFonts w:cs="B Zar"/>
          <w:b w:val="0"/>
          <w:bCs w:val="0"/>
          <w:sz w:val="18"/>
          <w:szCs w:val="18"/>
          <w:rtl/>
        </w:rPr>
      </w:pPr>
    </w:p>
    <w:p w:rsidR="008942F8" w:rsidRDefault="008942F8" w:rsidP="00687032">
      <w:pPr>
        <w:pStyle w:val="Title"/>
        <w:ind w:left="-35" w:firstLine="35"/>
        <w:rPr>
          <w:rFonts w:cs="B Zar"/>
          <w:b w:val="0"/>
          <w:bCs w:val="0"/>
          <w:sz w:val="18"/>
          <w:szCs w:val="18"/>
          <w:rtl/>
        </w:rPr>
      </w:pPr>
    </w:p>
    <w:p w:rsidR="008942F8" w:rsidRDefault="008942F8" w:rsidP="00687032">
      <w:pPr>
        <w:pStyle w:val="Title"/>
        <w:ind w:left="-35" w:firstLine="35"/>
        <w:rPr>
          <w:rFonts w:cs="B Zar"/>
          <w:b w:val="0"/>
          <w:bCs w:val="0"/>
          <w:sz w:val="18"/>
          <w:szCs w:val="18"/>
          <w:rtl/>
        </w:rPr>
      </w:pPr>
    </w:p>
    <w:p w:rsidR="008942F8" w:rsidRDefault="008942F8" w:rsidP="00687032">
      <w:pPr>
        <w:pStyle w:val="Title"/>
        <w:ind w:left="-35" w:firstLine="35"/>
        <w:rPr>
          <w:rFonts w:cs="B Zar"/>
          <w:b w:val="0"/>
          <w:bCs w:val="0"/>
          <w:sz w:val="18"/>
          <w:szCs w:val="18"/>
          <w:rtl/>
        </w:rPr>
      </w:pPr>
    </w:p>
    <w:p w:rsidR="008942F8" w:rsidRDefault="008942F8" w:rsidP="00687032">
      <w:pPr>
        <w:pStyle w:val="Title"/>
        <w:ind w:left="-35" w:firstLine="35"/>
        <w:rPr>
          <w:rFonts w:cs="B Zar"/>
          <w:b w:val="0"/>
          <w:bCs w:val="0"/>
          <w:sz w:val="18"/>
          <w:szCs w:val="18"/>
          <w:rtl/>
        </w:rPr>
      </w:pPr>
    </w:p>
    <w:p w:rsidR="008942F8" w:rsidRDefault="008942F8" w:rsidP="00687032">
      <w:pPr>
        <w:pStyle w:val="Title"/>
        <w:ind w:left="-35" w:firstLine="35"/>
        <w:rPr>
          <w:rFonts w:cs="B Zar"/>
          <w:b w:val="0"/>
          <w:bCs w:val="0"/>
          <w:sz w:val="18"/>
          <w:szCs w:val="18"/>
          <w:rtl/>
        </w:rPr>
      </w:pPr>
      <w:bookmarkStart w:id="0" w:name="_GoBack"/>
      <w:bookmarkEnd w:id="0"/>
    </w:p>
    <w:p w:rsidR="00687032" w:rsidRPr="00C1789A" w:rsidRDefault="00687032" w:rsidP="00687032">
      <w:pPr>
        <w:pStyle w:val="Title"/>
        <w:ind w:left="-35" w:firstLine="35"/>
        <w:rPr>
          <w:rFonts w:cs="B Titr"/>
          <w:b w:val="0"/>
          <w:bCs w:val="0"/>
          <w:sz w:val="48"/>
          <w:szCs w:val="48"/>
          <w:rtl/>
        </w:rPr>
      </w:pPr>
      <w:r w:rsidRPr="00C1789A">
        <w:rPr>
          <w:rFonts w:cs="B Titr" w:hint="cs"/>
          <w:b w:val="0"/>
          <w:bCs w:val="0"/>
          <w:sz w:val="48"/>
          <w:szCs w:val="48"/>
          <w:rtl/>
        </w:rPr>
        <w:lastRenderedPageBreak/>
        <w:t>فهرست مطالب</w:t>
      </w:r>
    </w:p>
    <w:tbl>
      <w:tblPr>
        <w:bidiVisual/>
        <w:tblW w:w="9810"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6"/>
        <w:gridCol w:w="1494"/>
      </w:tblGrid>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عنوان</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pStyle w:val="Heading5"/>
              <w:ind w:left="-35" w:firstLine="35"/>
              <w:jc w:val="left"/>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مقدمه</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pStyle w:val="Heading5"/>
              <w:ind w:left="-35" w:firstLine="35"/>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تاريخچه</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ind w:left="-35" w:firstLine="35"/>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Times New Roman" w:hAnsi="Times New Roman" w:cs="B Zar"/>
                <w:b w:val="0"/>
                <w:bCs w:val="0"/>
                <w:sz w:val="50"/>
                <w:szCs w:val="50"/>
                <w:rtl/>
              </w:rPr>
            </w:pPr>
            <w:r w:rsidRPr="00C1789A">
              <w:rPr>
                <w:rFonts w:ascii="IPT.Nazanin" w:hAnsi="IPT.Nazanin" w:cs="B Zar" w:hint="cs"/>
                <w:b w:val="0"/>
                <w:bCs w:val="0"/>
                <w:sz w:val="50"/>
                <w:szCs w:val="50"/>
                <w:rtl/>
              </w:rPr>
              <w:t xml:space="preserve">سازمان تجارت جهاني ( </w:t>
            </w:r>
            <w:r w:rsidRPr="00C1789A">
              <w:rPr>
                <w:rFonts w:ascii="Times New Roman" w:hAnsi="Times New Roman" w:cs="B Zar"/>
                <w:b w:val="0"/>
                <w:bCs w:val="0"/>
                <w:sz w:val="50"/>
                <w:szCs w:val="50"/>
              </w:rPr>
              <w:t>wto</w:t>
            </w:r>
            <w:r w:rsidRPr="00C1789A">
              <w:rPr>
                <w:rFonts w:ascii="Times New Roman" w:hAnsi="Times New Roman" w:cs="B Zar" w:hint="cs"/>
                <w:b w:val="0"/>
                <w:bCs w:val="0"/>
                <w:sz w:val="50"/>
                <w:szCs w:val="50"/>
                <w:rtl/>
              </w:rPr>
              <w:t xml:space="preserve"> )</w:t>
            </w:r>
          </w:p>
          <w:p w:rsidR="00687032" w:rsidRPr="00C1789A" w:rsidRDefault="00687032" w:rsidP="0054072D">
            <w:pPr>
              <w:bidi/>
              <w:jc w:val="lowKashida"/>
              <w:rPr>
                <w:rFonts w:ascii="Times New Roman" w:hAnsi="Times New Roman" w:cs="B Zar"/>
                <w:b w:val="0"/>
                <w:bCs w:val="0"/>
                <w:sz w:val="50"/>
                <w:szCs w:val="50"/>
                <w:rtl/>
              </w:rPr>
            </w:pPr>
            <w:r w:rsidRPr="00C1789A">
              <w:rPr>
                <w:rFonts w:ascii="Times New Roman" w:hAnsi="Times New Roman" w:cs="B Zar" w:hint="cs"/>
                <w:b w:val="0"/>
                <w:bCs w:val="0"/>
                <w:sz w:val="50"/>
                <w:szCs w:val="50"/>
                <w:rtl/>
              </w:rPr>
              <w:t>اعضاي سازمان تجارت جهاني</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ind w:left="-35" w:firstLine="35"/>
              <w:jc w:val="center"/>
              <w:rPr>
                <w:rFonts w:ascii="IPT.Nazanin" w:hAnsi="IPT.Nazanin" w:cs="B Zar"/>
                <w:b w:val="0"/>
                <w:bCs w:val="0"/>
                <w:sz w:val="38"/>
                <w:szCs w:val="38"/>
                <w:rtl/>
              </w:rPr>
            </w:pPr>
          </w:p>
          <w:p w:rsidR="00687032" w:rsidRPr="00C1789A" w:rsidRDefault="00687032" w:rsidP="0054072D">
            <w:pPr>
              <w:bidi/>
              <w:ind w:left="-35" w:firstLine="35"/>
              <w:jc w:val="center"/>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اصول حاكم بر نظام بازرگاني سازمان تجارت جهاني</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pStyle w:val="Heading5"/>
              <w:ind w:left="-35" w:firstLine="35"/>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نگاهي نزديكتر به اصول</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ind w:left="-35" w:firstLine="35"/>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ملت كامله الوداد</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ind w:left="-35" w:firstLine="35"/>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 xml:space="preserve">رفتار ملي </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ind w:left="-35" w:firstLine="35"/>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مذاكرات دور اروگوئه</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ind w:left="-35" w:firstLine="35"/>
              <w:jc w:val="center"/>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 xml:space="preserve">ساختار سازمان تجارت جهاني </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ind w:left="-35" w:firstLine="35"/>
              <w:jc w:val="center"/>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 xml:space="preserve">ايران و سازمان تجارت جهاني </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ind w:left="-35" w:firstLine="35"/>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آيا پيوستن به سازمان تجارت جهاني به نفع ايران است ؟</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ind w:left="-35" w:firstLine="35"/>
              <w:jc w:val="center"/>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پي آمدهاي مثبت ، نگاه خوشبينانه</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ind w:left="-35" w:firstLine="35"/>
              <w:jc w:val="center"/>
              <w:rPr>
                <w:rFonts w:ascii="IPT.Nazanin" w:hAnsi="IPT.Nazanin" w:cs="B Zar"/>
                <w:b w:val="0"/>
                <w:bCs w:val="0"/>
                <w:sz w:val="38"/>
                <w:szCs w:val="38"/>
                <w:rtl/>
              </w:rPr>
            </w:pPr>
          </w:p>
        </w:tc>
      </w:tr>
      <w:tr w:rsidR="00687032" w:rsidRPr="00C1789A" w:rsidTr="0054072D">
        <w:trPr>
          <w:trHeight w:val="376"/>
        </w:trPr>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پي آمدهاي منفي ، نگاه بدبينانه</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ind w:left="-35" w:firstLine="35"/>
              <w:jc w:val="center"/>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lastRenderedPageBreak/>
              <w:t xml:space="preserve">آثار زيانبار دورماندن از سازمان تجارت جهاني </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ind w:left="-35" w:firstLine="35"/>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بررسي كلي پيامدهاي عضويت ايران</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ind w:left="-35" w:firstLine="35"/>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Times New Roman" w:hAnsi="Times New Roman" w:cs="B Zar"/>
                <w:b w:val="0"/>
                <w:bCs w:val="0"/>
                <w:sz w:val="50"/>
                <w:szCs w:val="50"/>
                <w:rtl/>
              </w:rPr>
            </w:pPr>
            <w:r w:rsidRPr="00C1789A">
              <w:rPr>
                <w:rFonts w:ascii="IPT.Nazanin" w:hAnsi="IPT.Nazanin" w:cs="B Zar" w:hint="cs"/>
                <w:b w:val="0"/>
                <w:bCs w:val="0"/>
                <w:sz w:val="50"/>
                <w:szCs w:val="50"/>
                <w:rtl/>
              </w:rPr>
              <w:t xml:space="preserve">بسترسازي اقتصادي و تجاري پيش از الحاق ايران به </w:t>
            </w:r>
            <w:r w:rsidRPr="00C1789A">
              <w:rPr>
                <w:rFonts w:ascii="Times New Roman" w:hAnsi="Times New Roman" w:cs="B Zar"/>
                <w:b w:val="0"/>
                <w:bCs w:val="0"/>
                <w:sz w:val="50"/>
                <w:szCs w:val="50"/>
              </w:rPr>
              <w:t>wto</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ind w:left="-35" w:firstLine="35"/>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عنوان</w:t>
            </w:r>
          </w:p>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يخش كشاورزي</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ind w:left="-35" w:firstLine="35"/>
              <w:rPr>
                <w:rFonts w:ascii="IPT.Nazanin" w:hAnsi="IPT.Nazanin" w:cs="B Zar"/>
                <w:b w:val="0"/>
                <w:bCs w:val="0"/>
                <w:sz w:val="38"/>
                <w:szCs w:val="38"/>
                <w:rtl/>
              </w:rPr>
            </w:pPr>
          </w:p>
          <w:p w:rsidR="00687032" w:rsidRPr="00C1789A" w:rsidRDefault="00687032" w:rsidP="0054072D">
            <w:pPr>
              <w:bidi/>
              <w:ind w:left="-35" w:firstLine="35"/>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بخش صنعت</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ind w:left="-35" w:firstLine="35"/>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بخش خدمات</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ind w:left="-35" w:firstLine="35"/>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ارزش گذاري يا تطبيق با شرايط اقتصادي</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ind w:left="-35" w:firstLine="35"/>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آداب پيوستن به سازمان تجارت جهاني</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ind w:left="-35" w:firstLine="35"/>
              <w:rPr>
                <w:rFonts w:ascii="IPT.Nazanin" w:hAnsi="IPT.Nazanin" w:cs="B Zar"/>
                <w:b w:val="0"/>
                <w:bCs w:val="0"/>
                <w:sz w:val="38"/>
                <w:szCs w:val="38"/>
                <w:rtl/>
              </w:rPr>
            </w:pPr>
          </w:p>
        </w:tc>
      </w:tr>
      <w:tr w:rsidR="00687032" w:rsidRPr="00C1789A" w:rsidTr="0054072D">
        <w:tc>
          <w:tcPr>
            <w:tcW w:w="8316"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jc w:val="lowKashida"/>
              <w:rPr>
                <w:rFonts w:ascii="IPT.Nazanin" w:hAnsi="IPT.Nazanin" w:cs="B Zar"/>
                <w:b w:val="0"/>
                <w:bCs w:val="0"/>
                <w:sz w:val="50"/>
                <w:szCs w:val="50"/>
                <w:rtl/>
              </w:rPr>
            </w:pPr>
            <w:r w:rsidRPr="00C1789A">
              <w:rPr>
                <w:rFonts w:ascii="IPT.Nazanin" w:hAnsi="IPT.Nazanin" w:cs="B Zar" w:hint="cs"/>
                <w:b w:val="0"/>
                <w:bCs w:val="0"/>
                <w:sz w:val="50"/>
                <w:szCs w:val="50"/>
                <w:rtl/>
              </w:rPr>
              <w:t>منابع و مأخذ</w:t>
            </w:r>
          </w:p>
        </w:tc>
        <w:tc>
          <w:tcPr>
            <w:tcW w:w="1494" w:type="dxa"/>
            <w:tcBorders>
              <w:top w:val="single" w:sz="4" w:space="0" w:color="FFFFFF"/>
              <w:left w:val="single" w:sz="4" w:space="0" w:color="FFFFFF"/>
              <w:bottom w:val="single" w:sz="4" w:space="0" w:color="FFFFFF"/>
              <w:right w:val="single" w:sz="4" w:space="0" w:color="FFFFFF"/>
            </w:tcBorders>
            <w:shd w:val="clear" w:color="auto" w:fill="FFFFFF"/>
          </w:tcPr>
          <w:p w:rsidR="00687032" w:rsidRPr="00C1789A" w:rsidRDefault="00687032" w:rsidP="0054072D">
            <w:pPr>
              <w:bidi/>
              <w:ind w:left="-35" w:firstLine="35"/>
              <w:rPr>
                <w:rFonts w:ascii="Times New Roman" w:hAnsi="Times New Roman" w:cs="B Zar"/>
                <w:b w:val="0"/>
                <w:bCs w:val="0"/>
                <w:sz w:val="38"/>
                <w:szCs w:val="38"/>
                <w:rtl/>
              </w:rPr>
            </w:pPr>
          </w:p>
        </w:tc>
      </w:tr>
    </w:tbl>
    <w:p w:rsidR="00687032" w:rsidRPr="00C1789A" w:rsidRDefault="00687032" w:rsidP="00687032">
      <w:pPr>
        <w:bidi/>
        <w:ind w:firstLine="567"/>
        <w:jc w:val="lowKashida"/>
        <w:rPr>
          <w:rFonts w:ascii="IPT.Nazanin" w:hAnsi="IPT.Nazanin" w:cs="B Zar"/>
          <w:b w:val="0"/>
          <w:bCs w:val="0"/>
          <w:sz w:val="38"/>
          <w:szCs w:val="38"/>
          <w:rtl/>
        </w:rPr>
      </w:pPr>
    </w:p>
    <w:p w:rsidR="00687032" w:rsidRPr="00C1789A" w:rsidRDefault="00687032" w:rsidP="00687032">
      <w:pPr>
        <w:jc w:val="center"/>
        <w:rPr>
          <w:rFonts w:ascii="IPT.Nazanin" w:hAnsi="IPT.Nazanin" w:cs="B Zar"/>
          <w:b w:val="0"/>
          <w:bCs w:val="0"/>
          <w:sz w:val="38"/>
          <w:szCs w:val="38"/>
        </w:rPr>
      </w:pPr>
    </w:p>
    <w:p w:rsidR="00687032" w:rsidRPr="00C1789A" w:rsidRDefault="00687032" w:rsidP="00687032">
      <w:pPr>
        <w:jc w:val="center"/>
        <w:rPr>
          <w:rFonts w:ascii="IPT.Nazanin" w:hAnsi="IPT.Nazanin" w:cs="B Zar"/>
          <w:b w:val="0"/>
          <w:bCs w:val="0"/>
          <w:sz w:val="38"/>
          <w:szCs w:val="38"/>
        </w:rPr>
      </w:pPr>
    </w:p>
    <w:p w:rsidR="00687032" w:rsidRPr="00C1789A" w:rsidRDefault="00687032" w:rsidP="00687032">
      <w:pPr>
        <w:jc w:val="center"/>
        <w:rPr>
          <w:rFonts w:ascii="IPT.Nazanin" w:hAnsi="IPT.Nazanin" w:cs="B Zar"/>
          <w:b w:val="0"/>
          <w:bCs w:val="0"/>
          <w:sz w:val="38"/>
          <w:szCs w:val="38"/>
          <w:rtl/>
        </w:rPr>
      </w:pPr>
    </w:p>
    <w:p w:rsidR="00687032" w:rsidRPr="00C1789A" w:rsidRDefault="00687032" w:rsidP="00687032">
      <w:pPr>
        <w:jc w:val="center"/>
        <w:rPr>
          <w:rFonts w:ascii="IPT.Nazanin" w:hAnsi="IPT.Nazanin" w:cs="B Zar"/>
          <w:b w:val="0"/>
          <w:bCs w:val="0"/>
          <w:sz w:val="38"/>
          <w:szCs w:val="38"/>
          <w:rtl/>
        </w:rPr>
      </w:pPr>
    </w:p>
    <w:p w:rsidR="00687032" w:rsidRPr="00C1789A" w:rsidRDefault="00687032" w:rsidP="00687032">
      <w:pPr>
        <w:jc w:val="center"/>
        <w:rPr>
          <w:rFonts w:ascii="IPT.Nazanin" w:hAnsi="IPT.Nazanin" w:cs="B Zar"/>
          <w:b w:val="0"/>
          <w:bCs w:val="0"/>
          <w:sz w:val="38"/>
          <w:szCs w:val="38"/>
          <w:rtl/>
        </w:rPr>
      </w:pPr>
    </w:p>
    <w:p w:rsidR="00687032" w:rsidRPr="00C1789A" w:rsidRDefault="00687032" w:rsidP="00687032">
      <w:pPr>
        <w:jc w:val="center"/>
        <w:rPr>
          <w:rFonts w:ascii="IPT.Nazanin" w:hAnsi="IPT.Nazanin" w:cs="B Zar"/>
          <w:b w:val="0"/>
          <w:bCs w:val="0"/>
          <w:sz w:val="38"/>
          <w:szCs w:val="38"/>
          <w:rtl/>
        </w:rPr>
      </w:pPr>
    </w:p>
    <w:p w:rsidR="00687032" w:rsidRPr="00C1789A" w:rsidRDefault="00687032" w:rsidP="00687032">
      <w:pPr>
        <w:jc w:val="center"/>
        <w:rPr>
          <w:rFonts w:ascii="IPT.Nazanin" w:hAnsi="IPT.Nazanin" w:cs="B Zar"/>
          <w:b w:val="0"/>
          <w:bCs w:val="0"/>
          <w:sz w:val="38"/>
          <w:szCs w:val="38"/>
          <w:rtl/>
        </w:rPr>
      </w:pPr>
    </w:p>
    <w:p w:rsidR="00687032" w:rsidRPr="00C1789A" w:rsidRDefault="00687032" w:rsidP="00687032">
      <w:pPr>
        <w:jc w:val="center"/>
        <w:rPr>
          <w:rFonts w:ascii="IPT.Nazanin" w:hAnsi="IPT.Nazanin" w:cs="B Zar"/>
          <w:b w:val="0"/>
          <w:bCs w:val="0"/>
          <w:sz w:val="38"/>
          <w:szCs w:val="38"/>
          <w:rtl/>
        </w:rPr>
      </w:pPr>
    </w:p>
    <w:p w:rsidR="00687032" w:rsidRPr="00C1789A" w:rsidRDefault="00687032" w:rsidP="00687032">
      <w:pPr>
        <w:pStyle w:val="Heading3"/>
        <w:ind w:firstLine="0"/>
        <w:rPr>
          <w:rFonts w:cs="B Titr"/>
          <w:b w:val="0"/>
          <w:bCs w:val="0"/>
          <w:sz w:val="58"/>
          <w:szCs w:val="58"/>
          <w:rtl/>
        </w:rPr>
      </w:pPr>
      <w:r w:rsidRPr="00C1789A">
        <w:rPr>
          <w:rFonts w:cs="B Titr" w:hint="cs"/>
          <w:b w:val="0"/>
          <w:bCs w:val="0"/>
          <w:sz w:val="58"/>
          <w:szCs w:val="58"/>
          <w:rtl/>
        </w:rPr>
        <w:lastRenderedPageBreak/>
        <w:t>مقدمه</w:t>
      </w:r>
    </w:p>
    <w:p w:rsidR="00687032" w:rsidRPr="00C1789A" w:rsidRDefault="00687032" w:rsidP="00687032">
      <w:pPr>
        <w:bidi/>
        <w:ind w:firstLine="567"/>
        <w:jc w:val="lowKashida"/>
        <w:rPr>
          <w:rFonts w:ascii="IPT.Nazanin" w:hAnsi="IPT.Nazanin" w:cs="B Zar"/>
          <w:b w:val="0"/>
          <w:bCs w:val="0"/>
          <w:sz w:val="42"/>
          <w:szCs w:val="42"/>
          <w:rtl/>
        </w:rPr>
      </w:pPr>
      <w:r w:rsidRPr="00C1789A">
        <w:rPr>
          <w:rFonts w:ascii="IPT.Nazanin" w:hAnsi="IPT.Nazanin" w:cs="B Zar" w:hint="cs"/>
          <w:b w:val="0"/>
          <w:bCs w:val="0"/>
          <w:sz w:val="42"/>
          <w:szCs w:val="42"/>
          <w:rtl/>
        </w:rPr>
        <w:t>پس از پايان جنگ جهاني دوم برخي از انديشمندان بر آن بودند كه كشورهايي براي تثبيت و تقويت قدرت صنعتي خود با وضع مقررات حمايتي مي كوشند توليدات داخلي خود را رونق  بخشيده و از ورود كالاهاي كشورهاي رقيب به بازارهاي داخلي ممانعت به عمل آورند. از آنجا كه اين تفكر راهنماي عملي اغلب سياستگزاري كشورهاست, وضعيتي بوجود مي آيد كه از داد وستد طبيعي كالا در بازارهاي جهاني  علاوه بر قانون عرضه و تقاضا ج</w:t>
      </w:r>
      <w:r w:rsidRPr="00C1789A">
        <w:rPr>
          <w:rFonts w:ascii="IPT.Nazanin" w:hAnsi="IPT.Nazanin" w:cs="B Zar"/>
          <w:b w:val="0"/>
          <w:bCs w:val="0"/>
          <w:sz w:val="42"/>
          <w:szCs w:val="42"/>
          <w:rtl/>
        </w:rPr>
        <w:t>ل</w:t>
      </w:r>
      <w:r w:rsidRPr="00C1789A">
        <w:rPr>
          <w:rFonts w:ascii="IPT.Nazanin" w:hAnsi="IPT.Nazanin" w:cs="B Zar" w:hint="cs"/>
          <w:b w:val="0"/>
          <w:bCs w:val="0"/>
          <w:sz w:val="42"/>
          <w:szCs w:val="42"/>
          <w:rtl/>
        </w:rPr>
        <w:t>وگيري مي كند. اين محدوديت مصنوعي با تشديد اقدامات حمايتي كه هدف تلافي را دنبال مي كند , پيش از پيش گسترش پيدا كرده و زمينه ساز جنگ هاي بازرگاني مي شود كه دامنه آن به ساير حوزه هاي روابط بين الملل تسري مي يابد.</w:t>
      </w:r>
    </w:p>
    <w:p w:rsidR="00687032" w:rsidRPr="00C1789A" w:rsidRDefault="00687032" w:rsidP="00687032">
      <w:pPr>
        <w:pStyle w:val="BodyTextIndent"/>
        <w:jc w:val="lowKashida"/>
        <w:rPr>
          <w:rFonts w:cs="B Zar"/>
          <w:b w:val="0"/>
          <w:bCs w:val="0"/>
          <w:sz w:val="42"/>
          <w:szCs w:val="42"/>
          <w:rtl/>
        </w:rPr>
      </w:pPr>
      <w:r w:rsidRPr="00C1789A">
        <w:rPr>
          <w:rFonts w:cs="B Zar" w:hint="cs"/>
          <w:b w:val="0"/>
          <w:bCs w:val="0"/>
          <w:sz w:val="42"/>
          <w:szCs w:val="42"/>
          <w:rtl/>
        </w:rPr>
        <w:t>بر پايه چنين تفكري وبا هدف كاربست تدبيري پيشگيرانه, در سال 1947 موافقتنامه عمومي معروف به گات به امضاي برخي از كشورها رسيد.</w:t>
      </w:r>
    </w:p>
    <w:p w:rsidR="00687032" w:rsidRPr="00C1789A" w:rsidRDefault="00687032" w:rsidP="00687032">
      <w:pPr>
        <w:bidi/>
        <w:ind w:firstLine="567"/>
        <w:jc w:val="lowKashida"/>
        <w:rPr>
          <w:rFonts w:ascii="IPT.Nazanin" w:hAnsi="IPT.Nazanin" w:cs="B Zar"/>
          <w:b w:val="0"/>
          <w:bCs w:val="0"/>
          <w:sz w:val="42"/>
          <w:szCs w:val="42"/>
          <w:rtl/>
        </w:rPr>
      </w:pPr>
      <w:r w:rsidRPr="00C1789A">
        <w:rPr>
          <w:rFonts w:ascii="IPT.Nazanin" w:hAnsi="IPT.Nazanin" w:cs="B Zar" w:hint="cs"/>
          <w:b w:val="0"/>
          <w:bCs w:val="0"/>
          <w:sz w:val="42"/>
          <w:szCs w:val="42"/>
          <w:rtl/>
        </w:rPr>
        <w:t>اساس اين موافقتنامه بر دو اصل عدم تبعيض يا برخورد يكسان با تمامي اعضاء بدون در نظر گرفتن سطح توسعه آنها ( به جز موارد استثنائي ) و نيز اصل بده و بستان دوطرفه يا قائل شدن حق تلاف</w:t>
      </w:r>
      <w:r w:rsidRPr="00C1789A">
        <w:rPr>
          <w:rFonts w:ascii="IPT.Nazanin" w:hAnsi="IPT.Nazanin" w:cs="B Zar"/>
          <w:b w:val="0"/>
          <w:bCs w:val="0"/>
          <w:sz w:val="42"/>
          <w:szCs w:val="42"/>
          <w:rtl/>
        </w:rPr>
        <w:t>ي</w:t>
      </w:r>
      <w:r w:rsidRPr="00C1789A">
        <w:rPr>
          <w:rFonts w:ascii="IPT.Nazanin" w:hAnsi="IPT.Nazanin" w:cs="B Zar" w:hint="cs"/>
          <w:b w:val="0"/>
          <w:bCs w:val="0"/>
          <w:sz w:val="42"/>
          <w:szCs w:val="42"/>
          <w:rtl/>
        </w:rPr>
        <w:t xml:space="preserve"> در مقابل اعضاي مختلف استوار است.</w:t>
      </w:r>
      <w:r w:rsidRPr="00C1789A">
        <w:rPr>
          <w:rFonts w:ascii="IPT.Nazanin" w:hAnsi="IPT.Nazanin" w:cs="B Zar"/>
          <w:b w:val="0"/>
          <w:bCs w:val="0"/>
          <w:sz w:val="42"/>
          <w:szCs w:val="42"/>
          <w:rtl/>
        </w:rPr>
        <w:t>((</w:t>
      </w:r>
      <w:r w:rsidRPr="00C1789A">
        <w:rPr>
          <w:rFonts w:ascii="IPT.Nazanin" w:hAnsi="IPT.Nazanin" w:cs="B Zar" w:hint="cs"/>
          <w:b w:val="0"/>
          <w:bCs w:val="0"/>
          <w:sz w:val="42"/>
          <w:szCs w:val="42"/>
          <w:rtl/>
        </w:rPr>
        <w:t xml:space="preserve"> گات</w:t>
      </w:r>
      <w:r w:rsidRPr="00C1789A">
        <w:rPr>
          <w:rFonts w:ascii="IPT.Nazanin" w:hAnsi="IPT.Nazanin" w:cs="B Zar"/>
          <w:b w:val="0"/>
          <w:bCs w:val="0"/>
          <w:sz w:val="42"/>
          <w:szCs w:val="42"/>
          <w:rtl/>
        </w:rPr>
        <w:t>))</w:t>
      </w:r>
      <w:r w:rsidRPr="00C1789A">
        <w:rPr>
          <w:rFonts w:ascii="IPT.Nazanin" w:hAnsi="IPT.Nazanin" w:cs="B Zar" w:hint="cs"/>
          <w:b w:val="0"/>
          <w:bCs w:val="0"/>
          <w:sz w:val="42"/>
          <w:szCs w:val="42"/>
          <w:rtl/>
        </w:rPr>
        <w:t xml:space="preserve"> براي تحقق هدف خود كه همانا تشويق تجارت وداد و ستد جهاني است, تدابير الزام آوري براي كاهش محدوديتهاي تجاري نظير سهميه هاي بازرگاني وحقوقي گمركي بر كالاهاي وارداتي وضع كرده است.</w:t>
      </w:r>
    </w:p>
    <w:p w:rsidR="00687032" w:rsidRPr="00C1789A" w:rsidRDefault="00687032" w:rsidP="00687032">
      <w:pPr>
        <w:bidi/>
        <w:ind w:firstLine="567"/>
        <w:jc w:val="lowKashida"/>
        <w:rPr>
          <w:rFonts w:ascii="IPT.Nazanin" w:hAnsi="IPT.Nazanin" w:cs="B Zar"/>
          <w:b w:val="0"/>
          <w:bCs w:val="0"/>
          <w:sz w:val="42"/>
          <w:szCs w:val="42"/>
          <w:rtl/>
        </w:rPr>
      </w:pPr>
      <w:r w:rsidRPr="00C1789A">
        <w:rPr>
          <w:rFonts w:ascii="IPT.Nazanin" w:hAnsi="IPT.Nazanin" w:cs="B Zar" w:hint="cs"/>
          <w:b w:val="0"/>
          <w:bCs w:val="0"/>
          <w:sz w:val="42"/>
          <w:szCs w:val="42"/>
          <w:rtl/>
        </w:rPr>
        <w:t xml:space="preserve">گات سياستهاي حمايتي را به عنوان سياستهاي پرهزينه جهت مصرف كنندگان در جهان و ناموفق در كاهش تعداد مشاغل در صنايع داخلي مورد تقبيح قرارداده و آن را زمينه ساز پيشي گرفتن عرضه بر تقاضا مي داند كه درنهايت در ركود تجارت جهاني متجلي مي شود. اين موافقتنامه در عين حال درهاي خود را بر روي </w:t>
      </w:r>
      <w:r w:rsidRPr="00C1789A">
        <w:rPr>
          <w:rFonts w:ascii="IPT.Nazanin" w:hAnsi="IPT.Nazanin" w:cs="B Zar" w:hint="cs"/>
          <w:b w:val="0"/>
          <w:bCs w:val="0"/>
          <w:sz w:val="42"/>
          <w:szCs w:val="42"/>
          <w:rtl/>
        </w:rPr>
        <w:lastRenderedPageBreak/>
        <w:t>سرمايه گذاران خارجي همانند سرمايه گذاران داخلي رفتار مي نمايد وبر سر راه فعاليتهاي آنان مانعي بوجود نياورند.</w:t>
      </w:r>
    </w:p>
    <w:p w:rsidR="00687032" w:rsidRPr="00C1789A" w:rsidRDefault="00687032" w:rsidP="00687032">
      <w:pPr>
        <w:bidi/>
        <w:ind w:firstLine="567"/>
        <w:jc w:val="lowKashida"/>
        <w:rPr>
          <w:rFonts w:ascii="IPT.Nazanin" w:hAnsi="IPT.Nazanin" w:cs="B Zar"/>
          <w:b w:val="0"/>
          <w:bCs w:val="0"/>
          <w:sz w:val="42"/>
          <w:szCs w:val="42"/>
          <w:rtl/>
        </w:rPr>
      </w:pPr>
      <w:r w:rsidRPr="00C1789A">
        <w:rPr>
          <w:rFonts w:ascii="IPT.Nazanin" w:hAnsi="IPT.Nazanin" w:cs="B Zar" w:hint="cs"/>
          <w:b w:val="0"/>
          <w:bCs w:val="0"/>
          <w:sz w:val="42"/>
          <w:szCs w:val="42"/>
          <w:rtl/>
        </w:rPr>
        <w:t>اصول وقوانين تدوين شده توسط گات به منزله يك كل غيرقابل تفكيك در نظر گرفته ميشود. بواقع قانون همه يا هيچ بر اين قوانين حاكم است. بدين معنا كه اعضا بايد به طور رسمي پايبندي خود را به تمامي مفاد موافقتنامه اعلام كرده ويا از اسازمان تجارت جهاني (</w:t>
      </w:r>
      <w:r w:rsidRPr="00C1789A">
        <w:rPr>
          <w:rFonts w:ascii="Times New Roman" w:hAnsi="Times New Roman" w:cs="B Zar"/>
          <w:b w:val="0"/>
          <w:bCs w:val="0"/>
          <w:sz w:val="42"/>
          <w:szCs w:val="42"/>
        </w:rPr>
        <w:t>wto</w:t>
      </w:r>
      <w:r w:rsidRPr="00C1789A">
        <w:rPr>
          <w:rFonts w:ascii="Times New Roman" w:hAnsi="Times New Roman" w:cs="B Zar" w:hint="cs"/>
          <w:b w:val="0"/>
          <w:bCs w:val="0"/>
          <w:sz w:val="42"/>
          <w:szCs w:val="42"/>
          <w:rtl/>
        </w:rPr>
        <w:t xml:space="preserve"> ) </w:t>
      </w:r>
      <w:r w:rsidRPr="00C1789A">
        <w:rPr>
          <w:rFonts w:ascii="IPT.Nazanin" w:hAnsi="IPT.Nazanin" w:cs="B Zar" w:hint="cs"/>
          <w:b w:val="0"/>
          <w:bCs w:val="0"/>
          <w:sz w:val="42"/>
          <w:szCs w:val="42"/>
          <w:rtl/>
        </w:rPr>
        <w:t>بر اساس اسناد مذكور شروع به كار سازمان جهاني تجارت ، حداكثر تا اول ژانويه 1995 ، مقرر شد. اين سازمان تنها نهاد در برگيرنده « گات » و تمامي اصلاحات و توافقات اروگوئه است . در رأس سازمان ، كنفرانس وزيران قرار دارد كه حداقل هر دو سال يك بار تشكيل جلسه مي دهد و داراي شوراي عمومي است كه وظيفه عملياتي كردن توافقات و تصميم هاي وزيران را بر عهده دارد . به علاوه ، اين شورا خود به عنوان نهاد حل اختلاف و بررسي مكانيسم سيياست هاي تجاري را كه در اهداف سازمان آمده ، بررسي خواهد كرد. شورا از سه نهاد فرعي تشكيل شده است :</w:t>
      </w:r>
    </w:p>
    <w:p w:rsidR="00687032" w:rsidRPr="00C1789A" w:rsidRDefault="00687032" w:rsidP="00687032">
      <w:pPr>
        <w:bidi/>
        <w:ind w:firstLine="567"/>
        <w:jc w:val="lowKashida"/>
        <w:rPr>
          <w:rFonts w:ascii="IPT.Nazanin" w:hAnsi="IPT.Nazanin" w:cs="B Zar"/>
          <w:b w:val="0"/>
          <w:bCs w:val="0"/>
          <w:sz w:val="24"/>
          <w:szCs w:val="24"/>
          <w:rtl/>
        </w:rPr>
      </w:pPr>
    </w:p>
    <w:p w:rsidR="00687032" w:rsidRPr="00C1789A" w:rsidRDefault="00687032" w:rsidP="00687032">
      <w:pPr>
        <w:numPr>
          <w:ilvl w:val="0"/>
          <w:numId w:val="2"/>
        </w:numPr>
        <w:bidi/>
        <w:ind w:right="0"/>
        <w:jc w:val="lowKashida"/>
        <w:rPr>
          <w:rFonts w:ascii="IPT.Nazanin" w:hAnsi="IPT.Nazanin" w:cs="B Zar"/>
          <w:sz w:val="42"/>
          <w:szCs w:val="42"/>
          <w:rtl/>
        </w:rPr>
      </w:pPr>
      <w:r w:rsidRPr="00C1789A">
        <w:rPr>
          <w:rFonts w:ascii="IPT.Nazanin" w:hAnsi="IPT.Nazanin" w:cs="B Zar" w:hint="cs"/>
          <w:sz w:val="42"/>
          <w:szCs w:val="42"/>
          <w:rtl/>
        </w:rPr>
        <w:t xml:space="preserve">شوراي كالا </w:t>
      </w:r>
    </w:p>
    <w:p w:rsidR="00687032" w:rsidRPr="00C1789A" w:rsidRDefault="00687032" w:rsidP="00687032">
      <w:pPr>
        <w:numPr>
          <w:ilvl w:val="0"/>
          <w:numId w:val="2"/>
        </w:numPr>
        <w:bidi/>
        <w:ind w:right="0"/>
        <w:jc w:val="lowKashida"/>
        <w:rPr>
          <w:rFonts w:ascii="IPT.Nazanin" w:hAnsi="IPT.Nazanin" w:cs="B Zar"/>
          <w:sz w:val="42"/>
          <w:szCs w:val="42"/>
        </w:rPr>
      </w:pPr>
      <w:r w:rsidRPr="00C1789A">
        <w:rPr>
          <w:rFonts w:ascii="IPT.Nazanin" w:hAnsi="IPT.Nazanin" w:cs="B Zar" w:hint="cs"/>
          <w:sz w:val="42"/>
          <w:szCs w:val="42"/>
          <w:rtl/>
        </w:rPr>
        <w:t xml:space="preserve">شوراي خدمات </w:t>
      </w:r>
    </w:p>
    <w:p w:rsidR="00687032" w:rsidRPr="00C1789A" w:rsidRDefault="00687032" w:rsidP="00687032">
      <w:pPr>
        <w:numPr>
          <w:ilvl w:val="0"/>
          <w:numId w:val="2"/>
        </w:numPr>
        <w:bidi/>
        <w:ind w:right="0"/>
        <w:jc w:val="lowKashida"/>
        <w:rPr>
          <w:rFonts w:ascii="IPT.Nazanin" w:hAnsi="IPT.Nazanin" w:cs="B Zar"/>
          <w:sz w:val="42"/>
          <w:szCs w:val="42"/>
          <w:rtl/>
        </w:rPr>
      </w:pPr>
      <w:r w:rsidRPr="00C1789A">
        <w:rPr>
          <w:rFonts w:ascii="IPT.Nazanin" w:hAnsi="IPT.Nazanin" w:cs="B Zar" w:hint="cs"/>
          <w:sz w:val="42"/>
          <w:szCs w:val="42"/>
          <w:rtl/>
        </w:rPr>
        <w:t>شوراي جنبه هاي تجاري مربوط به مالكيت معنوي</w:t>
      </w:r>
    </w:p>
    <w:p w:rsidR="00661D7F" w:rsidRDefault="00661D7F"/>
    <w:sectPr w:rsidR="00661D7F" w:rsidSect="008942F8">
      <w:pgSz w:w="11906" w:h="16838"/>
      <w:pgMar w:top="1440" w:right="2096"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PT.Nazanin">
    <w:altName w:val="Symbol"/>
    <w:charset w:val="02"/>
    <w:family w:val="auto"/>
    <w:pitch w:val="variable"/>
    <w:sig w:usb0="00000000" w:usb1="10000000" w:usb2="00000000" w:usb3="00000000" w:csb0="80000000" w:csb1="00000000"/>
  </w:font>
  <w:font w:name="Nazanin">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E480E"/>
    <w:multiLevelType w:val="hybridMultilevel"/>
    <w:tmpl w:val="650ACA78"/>
    <w:lvl w:ilvl="0" w:tplc="FFFFFFFF">
      <w:start w:val="1"/>
      <w:numFmt w:val="decimal"/>
      <w:pStyle w:val="Heading1"/>
      <w:lvlText w:val="%1-"/>
      <w:lvlJc w:val="left"/>
      <w:pPr>
        <w:tabs>
          <w:tab w:val="num" w:pos="720"/>
        </w:tabs>
        <w:ind w:left="720" w:righ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1" w15:restartNumberingAfterBreak="0">
    <w:nsid w:val="484E0DF6"/>
    <w:multiLevelType w:val="hybridMultilevel"/>
    <w:tmpl w:val="C36A312C"/>
    <w:lvl w:ilvl="0" w:tplc="FFFFFFFF">
      <w:start w:val="1"/>
      <w:numFmt w:val="decimal"/>
      <w:lvlText w:val="%1-"/>
      <w:lvlJc w:val="left"/>
      <w:pPr>
        <w:tabs>
          <w:tab w:val="num" w:pos="927"/>
        </w:tabs>
        <w:ind w:left="927" w:right="927" w:hanging="360"/>
      </w:pPr>
      <w:rPr>
        <w:rFonts w:hint="cs"/>
      </w:rPr>
    </w:lvl>
    <w:lvl w:ilvl="1" w:tplc="FFFFFFFF" w:tentative="1">
      <w:start w:val="1"/>
      <w:numFmt w:val="lowerLetter"/>
      <w:lvlText w:val="%2."/>
      <w:lvlJc w:val="left"/>
      <w:pPr>
        <w:tabs>
          <w:tab w:val="num" w:pos="1647"/>
        </w:tabs>
        <w:ind w:left="1647" w:right="1647" w:hanging="360"/>
      </w:pPr>
    </w:lvl>
    <w:lvl w:ilvl="2" w:tplc="FFFFFFFF" w:tentative="1">
      <w:start w:val="1"/>
      <w:numFmt w:val="lowerRoman"/>
      <w:lvlText w:val="%3."/>
      <w:lvlJc w:val="right"/>
      <w:pPr>
        <w:tabs>
          <w:tab w:val="num" w:pos="2367"/>
        </w:tabs>
        <w:ind w:left="2367" w:right="2367" w:hanging="180"/>
      </w:pPr>
    </w:lvl>
    <w:lvl w:ilvl="3" w:tplc="FFFFFFFF" w:tentative="1">
      <w:start w:val="1"/>
      <w:numFmt w:val="decimal"/>
      <w:lvlText w:val="%4."/>
      <w:lvlJc w:val="left"/>
      <w:pPr>
        <w:tabs>
          <w:tab w:val="num" w:pos="3087"/>
        </w:tabs>
        <w:ind w:left="3087" w:right="3087" w:hanging="360"/>
      </w:pPr>
    </w:lvl>
    <w:lvl w:ilvl="4" w:tplc="FFFFFFFF" w:tentative="1">
      <w:start w:val="1"/>
      <w:numFmt w:val="lowerLetter"/>
      <w:lvlText w:val="%5."/>
      <w:lvlJc w:val="left"/>
      <w:pPr>
        <w:tabs>
          <w:tab w:val="num" w:pos="3807"/>
        </w:tabs>
        <w:ind w:left="3807" w:right="3807" w:hanging="360"/>
      </w:pPr>
    </w:lvl>
    <w:lvl w:ilvl="5" w:tplc="FFFFFFFF" w:tentative="1">
      <w:start w:val="1"/>
      <w:numFmt w:val="lowerRoman"/>
      <w:lvlText w:val="%6."/>
      <w:lvlJc w:val="right"/>
      <w:pPr>
        <w:tabs>
          <w:tab w:val="num" w:pos="4527"/>
        </w:tabs>
        <w:ind w:left="4527" w:right="4527" w:hanging="180"/>
      </w:pPr>
    </w:lvl>
    <w:lvl w:ilvl="6" w:tplc="FFFFFFFF" w:tentative="1">
      <w:start w:val="1"/>
      <w:numFmt w:val="decimal"/>
      <w:lvlText w:val="%7."/>
      <w:lvlJc w:val="left"/>
      <w:pPr>
        <w:tabs>
          <w:tab w:val="num" w:pos="5247"/>
        </w:tabs>
        <w:ind w:left="5247" w:right="5247" w:hanging="360"/>
      </w:pPr>
    </w:lvl>
    <w:lvl w:ilvl="7" w:tplc="FFFFFFFF" w:tentative="1">
      <w:start w:val="1"/>
      <w:numFmt w:val="lowerLetter"/>
      <w:lvlText w:val="%8."/>
      <w:lvlJc w:val="left"/>
      <w:pPr>
        <w:tabs>
          <w:tab w:val="num" w:pos="5967"/>
        </w:tabs>
        <w:ind w:left="5967" w:right="5967" w:hanging="360"/>
      </w:pPr>
    </w:lvl>
    <w:lvl w:ilvl="8" w:tplc="FFFFFFFF" w:tentative="1">
      <w:start w:val="1"/>
      <w:numFmt w:val="lowerRoman"/>
      <w:lvlText w:val="%9."/>
      <w:lvlJc w:val="right"/>
      <w:pPr>
        <w:tabs>
          <w:tab w:val="num" w:pos="6687"/>
        </w:tabs>
        <w:ind w:left="6687" w:right="6687"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2"/>
  </w:compat>
  <w:rsids>
    <w:rsidRoot w:val="00687032"/>
    <w:rsid w:val="00661D7F"/>
    <w:rsid w:val="00687032"/>
    <w:rsid w:val="008942F8"/>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4CAE"/>
  <w15:docId w15:val="{55584727-833C-48F5-83A5-BA78B516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7032"/>
    <w:pPr>
      <w:spacing w:after="0" w:line="240" w:lineRule="auto"/>
    </w:pPr>
    <w:rPr>
      <w:rFonts w:ascii="Arial" w:eastAsia="Times New Roman" w:hAnsi="Arial" w:cs="Arial"/>
      <w:b/>
      <w:bCs/>
      <w:caps/>
      <w:shadow/>
      <w:noProof/>
      <w:spacing w:val="-4"/>
      <w:sz w:val="40"/>
      <w:szCs w:val="40"/>
      <w:vertAlign w:val="superscript"/>
      <w:lang w:bidi="ar-SA"/>
    </w:rPr>
  </w:style>
  <w:style w:type="paragraph" w:styleId="Heading1">
    <w:name w:val="heading 1"/>
    <w:basedOn w:val="Normal"/>
    <w:next w:val="Normal"/>
    <w:link w:val="Heading1Char"/>
    <w:qFormat/>
    <w:rsid w:val="00687032"/>
    <w:pPr>
      <w:keepNext/>
      <w:numPr>
        <w:numId w:val="1"/>
      </w:numPr>
      <w:bidi/>
      <w:ind w:left="0" w:right="0" w:firstLine="567"/>
      <w:jc w:val="both"/>
      <w:outlineLvl w:val="0"/>
    </w:pPr>
    <w:rPr>
      <w:rFonts w:ascii="IPT.Nazanin" w:hAnsi="IPT.Nazanin" w:cs="Nazanin"/>
      <w:sz w:val="48"/>
      <w:szCs w:val="48"/>
    </w:rPr>
  </w:style>
  <w:style w:type="paragraph" w:styleId="Heading2">
    <w:name w:val="heading 2"/>
    <w:basedOn w:val="Normal"/>
    <w:next w:val="Normal"/>
    <w:link w:val="Heading2Char"/>
    <w:qFormat/>
    <w:rsid w:val="00687032"/>
    <w:pPr>
      <w:keepNext/>
      <w:bidi/>
      <w:ind w:firstLine="567"/>
      <w:jc w:val="both"/>
      <w:outlineLvl w:val="1"/>
    </w:pPr>
    <w:rPr>
      <w:rFonts w:ascii="Times New Roman" w:hAnsi="Times New Roman" w:cs="Nazanin"/>
      <w:sz w:val="56"/>
      <w:szCs w:val="56"/>
    </w:rPr>
  </w:style>
  <w:style w:type="paragraph" w:styleId="Heading3">
    <w:name w:val="heading 3"/>
    <w:basedOn w:val="Normal"/>
    <w:next w:val="Normal"/>
    <w:link w:val="Heading3Char"/>
    <w:qFormat/>
    <w:rsid w:val="00687032"/>
    <w:pPr>
      <w:keepNext/>
      <w:bidi/>
      <w:ind w:firstLine="567"/>
      <w:jc w:val="both"/>
      <w:outlineLvl w:val="2"/>
    </w:pPr>
    <w:rPr>
      <w:rFonts w:ascii="IPT.Nazanin" w:hAnsi="IPT.Nazanin" w:cs="Nazanin"/>
      <w:sz w:val="60"/>
      <w:szCs w:val="60"/>
    </w:rPr>
  </w:style>
  <w:style w:type="paragraph" w:styleId="Heading5">
    <w:name w:val="heading 5"/>
    <w:basedOn w:val="Normal"/>
    <w:next w:val="Normal"/>
    <w:link w:val="Heading5Char"/>
    <w:qFormat/>
    <w:rsid w:val="00687032"/>
    <w:pPr>
      <w:keepNext/>
      <w:bidi/>
      <w:jc w:val="center"/>
      <w:outlineLvl w:val="4"/>
    </w:pPr>
    <w:rPr>
      <w:rFonts w:ascii="Times New Roman" w:hAnsi="Times New Roman" w:cs="Naza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032"/>
    <w:rPr>
      <w:rFonts w:ascii="IPT.Nazanin" w:eastAsia="Times New Roman" w:hAnsi="IPT.Nazanin" w:cs="Nazanin"/>
      <w:b/>
      <w:bCs/>
      <w:caps/>
      <w:shadow/>
      <w:noProof/>
      <w:spacing w:val="-4"/>
      <w:sz w:val="48"/>
      <w:szCs w:val="48"/>
      <w:vertAlign w:val="superscript"/>
      <w:lang w:bidi="ar-SA"/>
    </w:rPr>
  </w:style>
  <w:style w:type="character" w:customStyle="1" w:styleId="Heading2Char">
    <w:name w:val="Heading 2 Char"/>
    <w:basedOn w:val="DefaultParagraphFont"/>
    <w:link w:val="Heading2"/>
    <w:rsid w:val="00687032"/>
    <w:rPr>
      <w:rFonts w:ascii="Times New Roman" w:eastAsia="Times New Roman" w:hAnsi="Times New Roman" w:cs="Nazanin"/>
      <w:b/>
      <w:bCs/>
      <w:caps/>
      <w:shadow/>
      <w:noProof/>
      <w:spacing w:val="-4"/>
      <w:sz w:val="56"/>
      <w:szCs w:val="56"/>
      <w:vertAlign w:val="superscript"/>
      <w:lang w:bidi="ar-SA"/>
    </w:rPr>
  </w:style>
  <w:style w:type="character" w:customStyle="1" w:styleId="Heading3Char">
    <w:name w:val="Heading 3 Char"/>
    <w:basedOn w:val="DefaultParagraphFont"/>
    <w:link w:val="Heading3"/>
    <w:rsid w:val="00687032"/>
    <w:rPr>
      <w:rFonts w:ascii="IPT.Nazanin" w:eastAsia="Times New Roman" w:hAnsi="IPT.Nazanin" w:cs="Nazanin"/>
      <w:b/>
      <w:bCs/>
      <w:caps/>
      <w:shadow/>
      <w:noProof/>
      <w:spacing w:val="-4"/>
      <w:sz w:val="60"/>
      <w:szCs w:val="60"/>
      <w:vertAlign w:val="superscript"/>
      <w:lang w:bidi="ar-SA"/>
    </w:rPr>
  </w:style>
  <w:style w:type="character" w:customStyle="1" w:styleId="Heading5Char">
    <w:name w:val="Heading 5 Char"/>
    <w:basedOn w:val="DefaultParagraphFont"/>
    <w:link w:val="Heading5"/>
    <w:rsid w:val="00687032"/>
    <w:rPr>
      <w:rFonts w:ascii="Times New Roman" w:eastAsia="Times New Roman" w:hAnsi="Times New Roman" w:cs="Nazanin"/>
      <w:b/>
      <w:bCs/>
      <w:caps/>
      <w:shadow/>
      <w:noProof/>
      <w:spacing w:val="-4"/>
      <w:sz w:val="40"/>
      <w:szCs w:val="40"/>
      <w:vertAlign w:val="superscript"/>
      <w:lang w:bidi="ar-SA"/>
    </w:rPr>
  </w:style>
  <w:style w:type="paragraph" w:styleId="BodyTextIndent">
    <w:name w:val="Body Text Indent"/>
    <w:basedOn w:val="Normal"/>
    <w:link w:val="BodyTextIndentChar"/>
    <w:rsid w:val="00687032"/>
    <w:pPr>
      <w:bidi/>
      <w:ind w:firstLine="567"/>
      <w:jc w:val="both"/>
    </w:pPr>
    <w:rPr>
      <w:rFonts w:ascii="IPT.Nazanin" w:hAnsi="IPT.Nazanin" w:cs="Nazanin"/>
      <w:sz w:val="48"/>
      <w:szCs w:val="48"/>
    </w:rPr>
  </w:style>
  <w:style w:type="character" w:customStyle="1" w:styleId="BodyTextIndentChar">
    <w:name w:val="Body Text Indent Char"/>
    <w:basedOn w:val="DefaultParagraphFont"/>
    <w:link w:val="BodyTextIndent"/>
    <w:rsid w:val="00687032"/>
    <w:rPr>
      <w:rFonts w:ascii="IPT.Nazanin" w:eastAsia="Times New Roman" w:hAnsi="IPT.Nazanin" w:cs="Nazanin"/>
      <w:b/>
      <w:bCs/>
      <w:caps/>
      <w:shadow/>
      <w:noProof/>
      <w:spacing w:val="-4"/>
      <w:sz w:val="48"/>
      <w:szCs w:val="48"/>
      <w:vertAlign w:val="superscript"/>
      <w:lang w:bidi="ar-SA"/>
    </w:rPr>
  </w:style>
  <w:style w:type="paragraph" w:styleId="Title">
    <w:name w:val="Title"/>
    <w:basedOn w:val="Normal"/>
    <w:link w:val="TitleChar"/>
    <w:qFormat/>
    <w:rsid w:val="00687032"/>
    <w:pPr>
      <w:shd w:val="clear" w:color="auto" w:fill="FFFFFF"/>
      <w:bidi/>
      <w:jc w:val="center"/>
    </w:pPr>
    <w:rPr>
      <w:rFonts w:ascii="IPT.Nazanin" w:hAnsi="IPT.Nazanin" w:cs="Nazanin"/>
    </w:rPr>
  </w:style>
  <w:style w:type="character" w:customStyle="1" w:styleId="TitleChar">
    <w:name w:val="Title Char"/>
    <w:basedOn w:val="DefaultParagraphFont"/>
    <w:link w:val="Title"/>
    <w:rsid w:val="00687032"/>
    <w:rPr>
      <w:rFonts w:ascii="IPT.Nazanin" w:eastAsia="Times New Roman" w:hAnsi="IPT.Nazanin" w:cs="Nazanin"/>
      <w:b/>
      <w:bCs/>
      <w:caps/>
      <w:shadow/>
      <w:noProof/>
      <w:spacing w:val="-4"/>
      <w:sz w:val="40"/>
      <w:szCs w:val="40"/>
      <w:shd w:val="clear" w:color="auto" w:fill="FFFFFF"/>
      <w:vertAlign w:val="superscript"/>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8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2015-10-01T11:37:00Z</dcterms:created>
  <dcterms:modified xsi:type="dcterms:W3CDTF">2016-09-20T12:08:00Z</dcterms:modified>
</cp:coreProperties>
</file>