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10" w:rsidRDefault="00321210" w:rsidP="00321210">
      <w:pPr>
        <w:pStyle w:val="Heading6"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5615" cy="5876290"/>
            <wp:effectExtent l="0" t="0" r="635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321210" w:rsidRDefault="00321210" w:rsidP="00321210">
      <w:pPr>
        <w:pStyle w:val="Heading6"/>
        <w:spacing w:line="266" w:lineRule="auto"/>
        <w:jc w:val="center"/>
        <w:rPr>
          <w:noProof/>
          <w:sz w:val="2"/>
          <w:szCs w:val="4"/>
        </w:rPr>
      </w:pPr>
    </w:p>
    <w:p w:rsidR="00321210" w:rsidRDefault="00321210" w:rsidP="007E696B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5E0D429C" wp14:editId="3DC13FAD">
            <wp:extent cx="906145" cy="1192530"/>
            <wp:effectExtent l="0" t="0" r="8255" b="7620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E696B" w:rsidRPr="00A43B56" w:rsidRDefault="007E696B" w:rsidP="007E696B">
      <w:pPr>
        <w:pStyle w:val="Heading6"/>
        <w:jc w:val="center"/>
        <w:rPr>
          <w:rFonts w:cs="B Zar"/>
          <w:sz w:val="28"/>
          <w:szCs w:val="28"/>
          <w:lang w:bidi="fa-IR"/>
        </w:rPr>
      </w:pPr>
      <w:r w:rsidRPr="00A43B56">
        <w:rPr>
          <w:rFonts w:cs="B Zar" w:hint="cs"/>
          <w:sz w:val="28"/>
          <w:szCs w:val="28"/>
          <w:rtl/>
        </w:rPr>
        <w:t>دانشگا</w:t>
      </w:r>
      <w:r w:rsidRPr="00A43B56">
        <w:rPr>
          <w:rFonts w:cs="B Zar" w:hint="cs"/>
          <w:sz w:val="28"/>
          <w:szCs w:val="28"/>
          <w:rtl/>
          <w:lang w:bidi="fa-IR"/>
        </w:rPr>
        <w:t>ه آزاد اسلامي</w:t>
      </w:r>
    </w:p>
    <w:p w:rsidR="007E696B" w:rsidRPr="00A43B56" w:rsidRDefault="007E696B" w:rsidP="007E696B">
      <w:pPr>
        <w:pStyle w:val="Heading6"/>
        <w:jc w:val="center"/>
        <w:rPr>
          <w:rFonts w:cs="B Zar" w:hint="cs"/>
          <w:sz w:val="28"/>
          <w:szCs w:val="28"/>
          <w:rtl/>
          <w:lang w:bidi="fa-IR"/>
        </w:rPr>
      </w:pPr>
      <w:r w:rsidRPr="00A43B56">
        <w:rPr>
          <w:rFonts w:cs="B Zar" w:hint="cs"/>
          <w:sz w:val="28"/>
          <w:szCs w:val="28"/>
          <w:rtl/>
          <w:lang w:bidi="fa-IR"/>
        </w:rPr>
        <w:t>واحد تهران مرکز</w:t>
      </w:r>
    </w:p>
    <w:p w:rsidR="007E696B" w:rsidRPr="00A43B56" w:rsidRDefault="007E696B" w:rsidP="007E696B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7E696B" w:rsidRDefault="007E696B" w:rsidP="007E696B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7E696B" w:rsidRPr="00A43B56" w:rsidRDefault="007E696B" w:rsidP="007E696B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7E696B" w:rsidRPr="00A43B56" w:rsidRDefault="007E696B" w:rsidP="007E696B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A43B56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7E696B" w:rsidRPr="00A43B56" w:rsidRDefault="007E696B" w:rsidP="007E696B">
      <w:pPr>
        <w:jc w:val="center"/>
        <w:rPr>
          <w:rFonts w:cs="B Zar"/>
          <w:b/>
          <w:bCs/>
          <w:sz w:val="30"/>
          <w:szCs w:val="30"/>
          <w:rtl/>
          <w:lang w:bidi="fa-IR"/>
        </w:rPr>
      </w:pPr>
    </w:p>
    <w:p w:rsidR="007E696B" w:rsidRPr="00A43B56" w:rsidRDefault="007E696B" w:rsidP="007E696B">
      <w:pPr>
        <w:jc w:val="center"/>
        <w:rPr>
          <w:rFonts w:cs="B Zar" w:hint="cs"/>
          <w:b/>
          <w:bCs/>
          <w:sz w:val="46"/>
          <w:szCs w:val="46"/>
          <w:rtl/>
          <w:lang w:bidi="fa-IR"/>
        </w:rPr>
      </w:pPr>
      <w:r w:rsidRPr="00A43B56">
        <w:rPr>
          <w:rFonts w:cs="B Zar"/>
          <w:b/>
          <w:bCs/>
          <w:sz w:val="46"/>
          <w:szCs w:val="46"/>
          <w:rtl/>
          <w:lang w:bidi="fa-IR"/>
        </w:rPr>
        <w:t>فنون و روش ها</w:t>
      </w:r>
      <w:r w:rsidRPr="00A43B56">
        <w:rPr>
          <w:rFonts w:cs="B Zar" w:hint="cs"/>
          <w:b/>
          <w:bCs/>
          <w:sz w:val="46"/>
          <w:szCs w:val="46"/>
          <w:rtl/>
          <w:lang w:bidi="fa-IR"/>
        </w:rPr>
        <w:t>ی</w:t>
      </w:r>
      <w:r w:rsidRPr="00A43B56">
        <w:rPr>
          <w:rFonts w:cs="B Zar"/>
          <w:b/>
          <w:bCs/>
          <w:sz w:val="46"/>
          <w:szCs w:val="46"/>
          <w:rtl/>
          <w:lang w:bidi="fa-IR"/>
        </w:rPr>
        <w:t xml:space="preserve"> کل</w:t>
      </w:r>
      <w:r w:rsidRPr="00A43B56">
        <w:rPr>
          <w:rFonts w:cs="B Zar" w:hint="cs"/>
          <w:b/>
          <w:bCs/>
          <w:sz w:val="46"/>
          <w:szCs w:val="46"/>
          <w:rtl/>
          <w:lang w:bidi="fa-IR"/>
        </w:rPr>
        <w:t>ی</w:t>
      </w:r>
      <w:r w:rsidRPr="00A43B56">
        <w:rPr>
          <w:rFonts w:cs="B Zar"/>
          <w:b/>
          <w:bCs/>
          <w:sz w:val="46"/>
          <w:szCs w:val="46"/>
          <w:rtl/>
          <w:lang w:bidi="fa-IR"/>
        </w:rPr>
        <w:t xml:space="preserve"> تدر</w:t>
      </w:r>
      <w:r w:rsidRPr="00A43B56">
        <w:rPr>
          <w:rFonts w:cs="B Zar" w:hint="cs"/>
          <w:b/>
          <w:bCs/>
          <w:sz w:val="46"/>
          <w:szCs w:val="46"/>
          <w:rtl/>
          <w:lang w:bidi="fa-IR"/>
        </w:rPr>
        <w:t>ی</w:t>
      </w:r>
      <w:r w:rsidRPr="00A43B56">
        <w:rPr>
          <w:rFonts w:cs="B Zar" w:hint="eastAsia"/>
          <w:b/>
          <w:bCs/>
          <w:sz w:val="46"/>
          <w:szCs w:val="46"/>
          <w:rtl/>
          <w:lang w:bidi="fa-IR"/>
        </w:rPr>
        <w:t>س</w:t>
      </w:r>
      <w:r w:rsidRPr="00A43B56">
        <w:rPr>
          <w:rFonts w:cs="B Zar"/>
          <w:b/>
          <w:bCs/>
          <w:sz w:val="46"/>
          <w:szCs w:val="46"/>
          <w:rtl/>
          <w:lang w:bidi="fa-IR"/>
        </w:rPr>
        <w:t xml:space="preserve"> در نظام آموزش</w:t>
      </w:r>
      <w:r w:rsidRPr="00A43B56">
        <w:rPr>
          <w:rFonts w:cs="B Zar" w:hint="cs"/>
          <w:b/>
          <w:bCs/>
          <w:sz w:val="46"/>
          <w:szCs w:val="46"/>
          <w:rtl/>
          <w:lang w:bidi="fa-IR"/>
        </w:rPr>
        <w:t>ی</w:t>
      </w:r>
    </w:p>
    <w:p w:rsidR="00321210" w:rsidRDefault="00321210" w:rsidP="007E696B">
      <w:pPr>
        <w:pStyle w:val="Heading6"/>
        <w:jc w:val="center"/>
        <w:rPr>
          <w:rFonts w:cs="B Jadid" w:hint="cs"/>
          <w:b w:val="0"/>
          <w:bCs w:val="0"/>
          <w:sz w:val="46"/>
          <w:szCs w:val="46"/>
          <w:rtl/>
          <w:lang w:bidi="fa-IR"/>
        </w:rPr>
      </w:pPr>
    </w:p>
    <w:p w:rsidR="00321210" w:rsidRDefault="00321210" w:rsidP="00321210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321210" w:rsidRDefault="00321210" w:rsidP="00321210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321210" w:rsidRDefault="00321210" w:rsidP="00321210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321210" w:rsidRDefault="00321210" w:rsidP="00321210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321210" w:rsidRDefault="00321210" w:rsidP="00321210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321210" w:rsidRDefault="00321210" w:rsidP="00321210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321210" w:rsidRDefault="00321210" w:rsidP="00321210">
      <w:pPr>
        <w:pStyle w:val="Title"/>
        <w:rPr>
          <w:rtl/>
        </w:rPr>
      </w:pPr>
      <w:bookmarkStart w:id="1" w:name="_GoBack"/>
      <w:bookmarkEnd w:id="1"/>
    </w:p>
    <w:p w:rsidR="00321210" w:rsidRDefault="00321210" w:rsidP="00321210">
      <w:pPr>
        <w:pStyle w:val="Title"/>
        <w:rPr>
          <w:rtl/>
        </w:rPr>
      </w:pPr>
      <w:r>
        <w:rPr>
          <w:rFonts w:hint="cs"/>
          <w:rtl/>
        </w:rPr>
        <w:lastRenderedPageBreak/>
        <w:t>فهرست مطالب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6"/>
        <w:gridCol w:w="1384"/>
      </w:tblGrid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pStyle w:val="Subtitle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Zar"/>
                <w:b/>
                <w:bCs/>
                <w:szCs w:val="30"/>
                <w:rtl/>
              </w:rPr>
            </w:pPr>
            <w:r>
              <w:rPr>
                <w:rFonts w:cs="Zar" w:hint="cs"/>
                <w:b/>
                <w:bCs/>
                <w:szCs w:val="30"/>
                <w:rtl/>
              </w:rPr>
              <w:t>صفحه</w:t>
            </w: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فصل اول: تعاريف و مفاهيم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مفهوم فنون تدريس و تعاريف آن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شرايط مربي از نظر قوانين موثر در تدريس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وظايف عمومي مربيان از ديدگاه سازماني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تعريف مطالعه و روش هاي آن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فصل دوم: آيين كلاس داري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هدف از بررسي آيين كلاس داري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نقش انگيزه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نقش انضباط و كنترل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بحث انضباط شخصي و تاثير آن در كلاس داري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فصل سوم: روش هاي كلي تدريس در نظام آموزشي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روش هاي فعال و غير فعال و قوانين اثر و نتيجه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هدف هاي آموزشي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مهايت هاي فرايند تدريس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الف) مهارت هاي پيش از تدريس- تعريف استاندارد- آشنايي با طرح درست و فوايد آن و فرم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ب) مهارت هاي بپمن تدريس: 1- تنظيم صدا و حركات فيزيكي مربي 2- حفظ شخصيت و احترام مربي 3- فروتني و ادب 4- بيان كافي مطالب درسي 5- اجتناب از ارائه مطالب غير درسي 6- اجتناب از اختلاط موضوعات 7- كيفيت بيان مطالب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بررسي فنون عرضه شده به كارآموز و بيان مطالب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ارجاع اطلاعات كافي براي كارآموز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انتظاراتي كه كارآموز از مراكز فني و حرفه اي دارد: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lastRenderedPageBreak/>
              <w:t>تقاضا و نيازهاي عمومي و كلي در پداگوژي و نحوه برخورد با ديگران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طريق شناخت افكار و استعدادهاي افراد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مهارت هاي پس از تدريس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فصل چهارم: كليات روش هاي تدريس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 xml:space="preserve">1- روش هاي تدريس غير فعال- شيوه مكتبي- شيوه توضيحي- شيوه سخنراني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2- روش هاي تدريس فعال- شيوه پرسش و پاشخ- شيوه بحث- شيوه اكتشافي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3- شيوه يا روش اكتشافي و روش حل مسائل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4- شيوه يا روش اكتشافي و روش حل مسائل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بحث پاياني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  <w:tr w:rsidR="00321210" w:rsidTr="00321210"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  <w:r>
              <w:rPr>
                <w:rFonts w:cs="Lotus" w:hint="cs"/>
                <w:szCs w:val="30"/>
                <w:rtl/>
              </w:rPr>
              <w:t>منابع و مأخذ مورد استفاده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10" w:rsidRDefault="00321210">
            <w:pPr>
              <w:jc w:val="lowKashida"/>
              <w:rPr>
                <w:rFonts w:cs="Lotus"/>
                <w:szCs w:val="30"/>
                <w:rtl/>
              </w:rPr>
            </w:pPr>
          </w:p>
        </w:tc>
      </w:tr>
    </w:tbl>
    <w:p w:rsidR="00321210" w:rsidRDefault="00321210" w:rsidP="00321210">
      <w:pPr>
        <w:jc w:val="lowKashida"/>
        <w:rPr>
          <w:rFonts w:cs="Lotus"/>
          <w:szCs w:val="30"/>
          <w:rtl/>
        </w:rPr>
      </w:pP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br w:type="page"/>
      </w:r>
      <w:r>
        <w:rPr>
          <w:rFonts w:cs="Lotus" w:hint="cs"/>
          <w:szCs w:val="30"/>
          <w:rtl/>
        </w:rPr>
        <w:lastRenderedPageBreak/>
        <w:t>تعريف فرستنده يا مربي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مربي شخصي است كه اطلاعات علمي پراكنده را متناسب با استاندارد رشته آموزشي خود تنظيم كرده و با شيوه هاي مناسب آن را به صورت مطالب ساده و قابل درك براي كارآموز تبديل و با سرعت مناسب و در سطح استعداد او انتقال مي دهد.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حال با توجه به تعريف مربي مي توان فرق بين مربي با كتاب را مقايسه و درك نمود. يعني اينكه كتاب آنچه را كه در خود دارد چه سخت باشد و چه آسان، بدون توجه به اينكه كارآموزي كه آنرا مطالعه مي كند مي فهمد يا نه مطالب را انتقال مي دهد، ولي مربي اطلاعات كتاب را درك و مطالب سخت و نامفهوم را همانند فيلتري به كنار گذاشته و جايگزين آن مطالب ساده تر و قابل درك و فهم كارآموز به كار مي برد.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شرايط مربي از نظر قوانين موثر در تدريس</w:t>
      </w:r>
    </w:p>
    <w:p w:rsidR="00321210" w:rsidRDefault="00321210" w:rsidP="00321210">
      <w:pPr>
        <w:numPr>
          <w:ilvl w:val="0"/>
          <w:numId w:val="1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داشتن علاقه به رشته آموزشي خود</w:t>
      </w:r>
    </w:p>
    <w:p w:rsidR="00321210" w:rsidRDefault="00321210" w:rsidP="00321210">
      <w:pPr>
        <w:numPr>
          <w:ilvl w:val="0"/>
          <w:numId w:val="1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داشتن صبر و حوصله در جهت انتقال اطلاعات</w:t>
      </w:r>
    </w:p>
    <w:p w:rsidR="00321210" w:rsidRDefault="00321210" w:rsidP="00321210">
      <w:pPr>
        <w:numPr>
          <w:ilvl w:val="0"/>
          <w:numId w:val="1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تسلط كامل به علوم فني مورد نياز</w:t>
      </w:r>
    </w:p>
    <w:p w:rsidR="00321210" w:rsidRDefault="00321210" w:rsidP="00321210">
      <w:pPr>
        <w:numPr>
          <w:ilvl w:val="0"/>
          <w:numId w:val="1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توانايي ايجاد نظم و انضباط در محيط آموزشي</w:t>
      </w:r>
    </w:p>
    <w:p w:rsidR="00321210" w:rsidRDefault="00321210" w:rsidP="00321210">
      <w:pPr>
        <w:numPr>
          <w:ilvl w:val="0"/>
          <w:numId w:val="1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داشتن فن بيان مناسب</w:t>
      </w:r>
    </w:p>
    <w:p w:rsidR="00321210" w:rsidRDefault="00321210" w:rsidP="00321210">
      <w:pPr>
        <w:numPr>
          <w:ilvl w:val="0"/>
          <w:numId w:val="1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توانايي ايجاد روابط خود و صميمي با كارآموزان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lastRenderedPageBreak/>
        <w:t>در چه شرايطي مربي مي تواند اطلاعات علمي خود را به كار آموز موثرتر انتقال دهد؟</w:t>
      </w:r>
    </w:p>
    <w:p w:rsidR="00321210" w:rsidRDefault="00321210" w:rsidP="00321210">
      <w:pPr>
        <w:numPr>
          <w:ilvl w:val="0"/>
          <w:numId w:val="2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كارآموز به او اطمينان و اعتبار را در نظر داشته باشد.</w:t>
      </w:r>
    </w:p>
    <w:p w:rsidR="00321210" w:rsidRDefault="00321210" w:rsidP="00321210">
      <w:pPr>
        <w:numPr>
          <w:ilvl w:val="0"/>
          <w:numId w:val="2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داشتن نظم و انضباط در كلاس آموزش.</w:t>
      </w:r>
    </w:p>
    <w:p w:rsidR="00321210" w:rsidRDefault="00321210" w:rsidP="00321210">
      <w:pPr>
        <w:numPr>
          <w:ilvl w:val="0"/>
          <w:numId w:val="2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داشتن فن باين تن صداي مربي بسيار تاثير گذار است.</w:t>
      </w:r>
    </w:p>
    <w:p w:rsidR="00321210" w:rsidRDefault="00321210" w:rsidP="00321210">
      <w:pPr>
        <w:numPr>
          <w:ilvl w:val="0"/>
          <w:numId w:val="2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توجه كردن مربي به افراد كم توجه و يا بي توجه.</w:t>
      </w:r>
    </w:p>
    <w:p w:rsidR="00321210" w:rsidRDefault="00321210" w:rsidP="00321210">
      <w:pPr>
        <w:numPr>
          <w:ilvl w:val="0"/>
          <w:numId w:val="2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توجه به سطح اطلاعاتي كارآموزان و ميزان استعداد و توانايي آنها.</w:t>
      </w:r>
    </w:p>
    <w:p w:rsidR="00321210" w:rsidRDefault="00321210" w:rsidP="00321210">
      <w:pPr>
        <w:numPr>
          <w:ilvl w:val="0"/>
          <w:numId w:val="2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پرهيز از ايجاد سدهاي ارتباطي.</w:t>
      </w:r>
    </w:p>
    <w:p w:rsidR="00321210" w:rsidRDefault="00321210" w:rsidP="00321210">
      <w:pPr>
        <w:numPr>
          <w:ilvl w:val="0"/>
          <w:numId w:val="2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از نظر (مادي- معنوي- امنيت شغلي و ايمني) تامين باشد.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كارآموز در چه شرايطي مفاهيم آموزشي را بهتر درك مي نمايد؟</w:t>
      </w:r>
    </w:p>
    <w:p w:rsidR="00321210" w:rsidRDefault="00321210" w:rsidP="00321210">
      <w:pPr>
        <w:numPr>
          <w:ilvl w:val="0"/>
          <w:numId w:val="3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داشتن علاقه و انگيزه و شناخت و درك علت فراگيري رشته آموزشي.</w:t>
      </w:r>
    </w:p>
    <w:p w:rsidR="00321210" w:rsidRDefault="00321210" w:rsidP="00321210">
      <w:pPr>
        <w:numPr>
          <w:ilvl w:val="0"/>
          <w:numId w:val="3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فراهم بودن عوامل رفاهي (نور- گرما- سرما- صدا- زاويه ديد كارآموز نسبت به مربي و كلاس به صورتي قرار گيرد كه همه شاگردان قادر به ديدن و شنيدن حرفهاي او باشند)</w:t>
      </w:r>
    </w:p>
    <w:p w:rsidR="00321210" w:rsidRDefault="00321210" w:rsidP="00321210">
      <w:pPr>
        <w:numPr>
          <w:ilvl w:val="0"/>
          <w:numId w:val="3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نياز بازار كار به حرفه آنها.</w:t>
      </w:r>
    </w:p>
    <w:p w:rsidR="00321210" w:rsidRDefault="00321210" w:rsidP="00321210">
      <w:pPr>
        <w:numPr>
          <w:ilvl w:val="0"/>
          <w:numId w:val="3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آمادگي روحي و جسم و داشتن استعداد اوليه</w:t>
      </w:r>
    </w:p>
    <w:p w:rsidR="00321210" w:rsidRDefault="00321210" w:rsidP="00321210">
      <w:pPr>
        <w:numPr>
          <w:ilvl w:val="0"/>
          <w:numId w:val="3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برخورد مناسب استاد.</w:t>
      </w:r>
    </w:p>
    <w:p w:rsidR="00321210" w:rsidRDefault="00321210" w:rsidP="00321210">
      <w:pPr>
        <w:numPr>
          <w:ilvl w:val="0"/>
          <w:numId w:val="3"/>
        </w:num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توضيح كامل و توجيه در مورد برنامه يا رشته آموزشي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lastRenderedPageBreak/>
        <w:t>در نظام فنون تدريس به دو عامل مهم آموزش تئوري و هم عملي توجه بيشتري شده است و تاكيد هميشه در تلفيق انها بوده است، چرا كه باعث مي شود خواسته هاي بيان نشده را در تئوري بتوان در علم بيان نمود و مسائل را با ديدي بازتر و ملموس تر به مشاهده كارآموزان گذارد.</w:t>
      </w:r>
    </w:p>
    <w:p w:rsidR="00321210" w:rsidRDefault="00321210" w:rsidP="00321210">
      <w:pPr>
        <w:pStyle w:val="Heading1"/>
        <w:rPr>
          <w:rtl/>
        </w:rPr>
      </w:pPr>
      <w:r>
        <w:rPr>
          <w:rFonts w:hint="cs"/>
          <w:rtl/>
        </w:rPr>
        <w:t>وظايف عمومي مربيان از ديدگاه سازماني</w:t>
      </w:r>
    </w:p>
    <w:p w:rsidR="00321210" w:rsidRDefault="00321210" w:rsidP="00321210">
      <w:pPr>
        <w:numPr>
          <w:ilvl w:val="0"/>
          <w:numId w:val="4"/>
        </w:numPr>
        <w:spacing w:line="360" w:lineRule="auto"/>
        <w:jc w:val="lowKashida"/>
        <w:rPr>
          <w:rFonts w:cs="Lotus"/>
          <w:b/>
          <w:bCs/>
          <w:szCs w:val="30"/>
          <w:rtl/>
        </w:rPr>
      </w:pPr>
      <w:r>
        <w:rPr>
          <w:rFonts w:cs="Lotus" w:hint="cs"/>
          <w:b/>
          <w:bCs/>
          <w:szCs w:val="30"/>
          <w:rtl/>
        </w:rPr>
        <w:t>تقويت و پرورش قوه تفكر در كارآموزان:</w:t>
      </w:r>
    </w:p>
    <w:p w:rsidR="00321210" w:rsidRDefault="00321210" w:rsidP="00321210">
      <w:pPr>
        <w:pStyle w:val="BodyText"/>
        <w:rPr>
          <w:rtl/>
        </w:rPr>
      </w:pPr>
      <w:r>
        <w:rPr>
          <w:rFonts w:hint="cs"/>
          <w:rtl/>
        </w:rPr>
        <w:t>برداشتي كه اكثر ما از تفكر داريم و كم و بيش در جامعه ما رواج دارد يك برداشت صد درصد صحيح و بدون اشكال نبوده. لذا بايد ابتدا معناي صحيح آن روشن شود تا درباره تقويت و قدرت بخشيدن آن در افراد به طور صحيح گام برداريم.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اصولا زماني بانسان بهتفكر مي پردازد كه با مشكل و مسئله مهمي برخورد كند. و يا مطالبي را به خاطر آورده باشد. با اين تعريف مشخص مي شود كه انسان به تفكر نمي پردازد و نمي انديشد مگر در هنگامي كه دچار مشكلي گردد و احتياح به كار و تلاش يكي از عوامل مهم در امر تفكر و رسيدن به هدف است.</w:t>
      </w:r>
    </w:p>
    <w:p w:rsidR="00321210" w:rsidRDefault="00321210" w:rsidP="00321210">
      <w:pPr>
        <w:spacing w:line="360" w:lineRule="auto"/>
        <w:jc w:val="lowKashida"/>
        <w:rPr>
          <w:rFonts w:cs="Lotus"/>
          <w:b/>
          <w:bCs/>
          <w:szCs w:val="30"/>
          <w:rtl/>
        </w:rPr>
      </w:pPr>
      <w:r>
        <w:rPr>
          <w:rFonts w:cs="Lotus" w:hint="cs"/>
          <w:b/>
          <w:bCs/>
          <w:szCs w:val="30"/>
          <w:rtl/>
        </w:rPr>
        <w:t>2-ايجاد تفكر عملي:</w:t>
      </w:r>
    </w:p>
    <w:p w:rsidR="00321210" w:rsidRDefault="00321210" w:rsidP="00321210">
      <w:pPr>
        <w:pStyle w:val="BodyText"/>
        <w:rPr>
          <w:rtl/>
        </w:rPr>
      </w:pPr>
      <w:r>
        <w:rPr>
          <w:rFonts w:hint="cs"/>
          <w:rtl/>
        </w:rPr>
        <w:t>معمولا اينگونه تفكر در مسائل روزمره و عادي جريان دارد و بيشتر براي تنظيم كار و وظايفي كه در قبال آن مسئوليت دارد معطوف مي شود.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4- ايجاد تفكر خلاق: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 xml:space="preserve">در اينگونه تفكر بيشتر به مسائل و مشكلاتي كه حل آن مشكل بوده و نياز به تلاش فكري بسيار نياز دارد پرداخته مي شود و در اين راستا براي حل مسائل مشكل راه حل هاي جديد كشف مي گردد و </w:t>
      </w:r>
      <w:r>
        <w:rPr>
          <w:rFonts w:cs="Lotus" w:hint="cs"/>
          <w:szCs w:val="30"/>
          <w:rtl/>
        </w:rPr>
        <w:lastRenderedPageBreak/>
        <w:t>معمولا در اينگونه انديشه و تفكر است كه به اختراعات بسيار مهم مي انجامد. آنچه مد نظر است دقت نظر به تعاريف ياد شده تفكر خلاق است كه بايد مورد توجه قرار گيرد و همه مربيان و مسئولين در اين رابطه تلاش كنند.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اما آنچه ما در مراكز آموزش و پرورش و تمام مراكز آموزشي شاهد و ناظر آن هستيم غير از آن چيزي است كه بايد مورد توجه قرار گيرد. و با يك بررسي بسيار سطحي متوجه خواهيم شد كه مراكز آموزشي ما با اتخاذ روش هاي خشك و بي روح و طبق يك عادت ديرينه مشغول به كار هستند و از هرگونه راه حل جديد كه از ناحيه دانشجو بخواهد ارائه شود مخالفت مي ورزند و با ايجاد يك محيط انضباطي سخت موجب ركود هرگونه تفكر تازه مي شوند و اين تفكر در همه مراكز آموزشي سايه نيفكنده. اما بايد توجه داشت كه اينگونه روش ها هيچگونه پيشرفت و ترقي را به همراه ندارد.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 xml:space="preserve">حتي ساكت كردن دانشجويان درمحيط آموزش، مجبور كردن آنها به پذيرفتن مطالبي كه ازناحيه استاد بيان مي شود يك نوع ارزش و نشانه اداره خوب كلاس شمرده مي شود. بايد به اين نكته توجه داشت كه انتقال فراوان مفاهيم علمي و تمرين هاي تكراري هرگونه فرصت انديشيدن را از دانشجو سلب مي كند و آنچه سبب پيشرفت و تعالي هر انساني مي گردد همان ايجاد فرصت هايي براي انديشيدن است. در اينجا بايد شرايط انديشيدن را براي دانشجويان فراهم منايد و دانشجويان بايد با انديشيدن به شناخت صحيح دست يابند و اين شناخت علمي صحيح آنان را به باور تثبيت شده برسانند. در اثر ايجاد باور تثبيت شده است كه گرايش به سوي عمل تحقق مي يابد و در نهايت به انجام عمل منجر خواهد شد. 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t>4- ايجاد يگانگي و حس همكاري:</w:t>
      </w:r>
    </w:p>
    <w:p w:rsidR="00321210" w:rsidRDefault="00321210" w:rsidP="00321210">
      <w:pPr>
        <w:spacing w:line="360" w:lineRule="auto"/>
        <w:jc w:val="lowKashida"/>
        <w:rPr>
          <w:rFonts w:cs="Lotus"/>
          <w:szCs w:val="30"/>
          <w:rtl/>
        </w:rPr>
      </w:pPr>
      <w:r>
        <w:rPr>
          <w:rFonts w:cs="Lotus" w:hint="cs"/>
          <w:szCs w:val="30"/>
          <w:rtl/>
        </w:rPr>
        <w:lastRenderedPageBreak/>
        <w:t>ايجاد حس همكاري و تعاون در كاراموزان را مي توان يكي از محرك هاي اصلي پيشرفت در تمام ابعاد كارآموز دانست. به وسيله تعاون وهمكاري مي توان فرصت هايي را براي ارتباط متقابل اجتماعي و رواني و نهايتاً تكامل افراد ايجاد كرد. با ايجاد حس همكاري است كه خواسته هاي افراد آشكار شده و قابليت هاي آنان بعنوان عضوي از جامعه نمودار مي گردد. اب ايجاد حس همكاري مي توان پيشرفت و تكامل كارآموز را سرعت بخشيد. در اين رابطه با بررسي هائي كه انجام گرفته است عوامل موثر در ايجاد يگانگي و انسجام در سه مورد خلاصه كرد.</w:t>
      </w:r>
    </w:p>
    <w:p w:rsidR="00845CF4" w:rsidRDefault="00845CF4" w:rsidP="00321210">
      <w:pPr>
        <w:rPr>
          <w:rtl/>
          <w:lang w:bidi="fa-IR"/>
        </w:rPr>
      </w:pPr>
    </w:p>
    <w:sectPr w:rsidR="00845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E3"/>
    <w:multiLevelType w:val="singleLevel"/>
    <w:tmpl w:val="76A2C9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30"/>
      </w:rPr>
    </w:lvl>
  </w:abstractNum>
  <w:abstractNum w:abstractNumId="1" w15:restartNumberingAfterBreak="0">
    <w:nsid w:val="497A0474"/>
    <w:multiLevelType w:val="singleLevel"/>
    <w:tmpl w:val="0C521E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30"/>
      </w:rPr>
    </w:lvl>
  </w:abstractNum>
  <w:abstractNum w:abstractNumId="2" w15:restartNumberingAfterBreak="0">
    <w:nsid w:val="586E3CDA"/>
    <w:multiLevelType w:val="singleLevel"/>
    <w:tmpl w:val="6B98429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30"/>
      </w:rPr>
    </w:lvl>
  </w:abstractNum>
  <w:abstractNum w:abstractNumId="3" w15:restartNumberingAfterBreak="0">
    <w:nsid w:val="742050D0"/>
    <w:multiLevelType w:val="singleLevel"/>
    <w:tmpl w:val="0B983F0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3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8E"/>
    <w:rsid w:val="00321210"/>
    <w:rsid w:val="007E696B"/>
    <w:rsid w:val="00845CF4"/>
    <w:rsid w:val="00E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782F"/>
  <w15:chartTrackingRefBased/>
  <w15:docId w15:val="{30C63340-EADF-44F1-B704-2564B4D0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121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21210"/>
    <w:pPr>
      <w:keepNext/>
      <w:pBdr>
        <w:bottom w:val="single" w:sz="6" w:space="1" w:color="auto"/>
      </w:pBdr>
      <w:spacing w:line="760" w:lineRule="atLeast"/>
      <w:outlineLvl w:val="0"/>
    </w:pPr>
    <w:rPr>
      <w:rFonts w:cs="Lotus"/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121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210"/>
    <w:rPr>
      <w:rFonts w:ascii="Times New Roman" w:eastAsia="Times New Roman" w:hAnsi="Times New Roman" w:cs="Lotus"/>
      <w:b/>
      <w:bCs/>
      <w:sz w:val="20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21210"/>
    <w:rPr>
      <w:rFonts w:eastAsiaTheme="minorEastAsia"/>
      <w:b/>
      <w:bCs/>
    </w:rPr>
  </w:style>
  <w:style w:type="paragraph" w:styleId="Title">
    <w:name w:val="Title"/>
    <w:basedOn w:val="Normal"/>
    <w:link w:val="TitleChar"/>
    <w:qFormat/>
    <w:rsid w:val="00321210"/>
    <w:pPr>
      <w:jc w:val="center"/>
    </w:pPr>
    <w:rPr>
      <w:rFonts w:cs="Titr"/>
      <w:szCs w:val="30"/>
    </w:rPr>
  </w:style>
  <w:style w:type="character" w:customStyle="1" w:styleId="TitleChar">
    <w:name w:val="Title Char"/>
    <w:basedOn w:val="DefaultParagraphFont"/>
    <w:link w:val="Title"/>
    <w:rsid w:val="00321210"/>
    <w:rPr>
      <w:rFonts w:ascii="Times New Roman" w:eastAsia="Times New Roman" w:hAnsi="Times New Roman" w:cs="Titr"/>
      <w:sz w:val="20"/>
      <w:szCs w:val="30"/>
    </w:rPr>
  </w:style>
  <w:style w:type="paragraph" w:styleId="BodyText">
    <w:name w:val="Body Text"/>
    <w:basedOn w:val="Normal"/>
    <w:link w:val="BodyTextChar"/>
    <w:semiHidden/>
    <w:unhideWhenUsed/>
    <w:rsid w:val="00321210"/>
    <w:pPr>
      <w:spacing w:line="760" w:lineRule="atLeast"/>
      <w:jc w:val="lowKashida"/>
    </w:pPr>
    <w:rPr>
      <w:rFonts w:cs="Lotus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321210"/>
    <w:rPr>
      <w:rFonts w:ascii="Times New Roman" w:eastAsia="Times New Roman" w:hAnsi="Times New Roman" w:cs="Lotus"/>
      <w:sz w:val="20"/>
      <w:szCs w:val="28"/>
    </w:rPr>
  </w:style>
  <w:style w:type="paragraph" w:styleId="Subtitle">
    <w:name w:val="Subtitle"/>
    <w:basedOn w:val="Normal"/>
    <w:link w:val="SubtitleChar"/>
    <w:qFormat/>
    <w:rsid w:val="00321210"/>
    <w:pPr>
      <w:jc w:val="lowKashida"/>
    </w:pPr>
    <w:rPr>
      <w:rFonts w:cs="Zar"/>
      <w:b/>
      <w:bCs/>
      <w:szCs w:val="30"/>
    </w:rPr>
  </w:style>
  <w:style w:type="character" w:customStyle="1" w:styleId="SubtitleChar">
    <w:name w:val="Subtitle Char"/>
    <w:basedOn w:val="DefaultParagraphFont"/>
    <w:link w:val="Subtitle"/>
    <w:rsid w:val="00321210"/>
    <w:rPr>
      <w:rFonts w:ascii="Times New Roman" w:eastAsia="Times New Roman" w:hAnsi="Times New Roman" w:cs="Zar"/>
      <w:b/>
      <w:bCs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2016-01-29T17:19:00Z</dcterms:created>
  <dcterms:modified xsi:type="dcterms:W3CDTF">2016-09-25T10:40:00Z</dcterms:modified>
</cp:coreProperties>
</file>