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FE2" w:rsidRDefault="00274FE2" w:rsidP="00274FE2">
      <w:pPr>
        <w:pStyle w:val="Heading6"/>
        <w:spacing w:line="268" w:lineRule="auto"/>
        <w:rPr>
          <w:sz w:val="36"/>
          <w:lang w:bidi="fa-IR"/>
        </w:rPr>
      </w:pPr>
      <w:r>
        <w:rPr>
          <w:noProof/>
          <w:lang w:bidi="fa-IR"/>
        </w:rPr>
        <w:drawing>
          <wp:anchor distT="0" distB="0" distL="114300" distR="114300" simplePos="0" relativeHeight="251661312" behindDoc="0" locked="0" layoutInCell="1" allowOverlap="1">
            <wp:simplePos x="0" y="0"/>
            <wp:positionH relativeFrom="column">
              <wp:posOffset>761365</wp:posOffset>
            </wp:positionH>
            <wp:positionV relativeFrom="paragraph">
              <wp:posOffset>1132205</wp:posOffset>
            </wp:positionV>
            <wp:extent cx="4286250" cy="5876925"/>
            <wp:effectExtent l="19050" t="0" r="0" b="0"/>
            <wp:wrapSquare wrapText="bothSides"/>
            <wp:docPr id="3"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86250" cy="5876925"/>
                    </a:xfrm>
                    <a:prstGeom prst="rect">
                      <a:avLst/>
                    </a:prstGeom>
                    <a:noFill/>
                    <a:ln w="9525">
                      <a:noFill/>
                      <a:miter lim="800000"/>
                      <a:headEnd/>
                      <a:tailEnd/>
                    </a:ln>
                  </pic:spPr>
                </pic:pic>
              </a:graphicData>
            </a:graphic>
          </wp:anchor>
        </w:drawing>
      </w:r>
      <w:r>
        <w:rPr>
          <w:rFonts w:cs="B Zar"/>
          <w:sz w:val="28"/>
          <w:rtl/>
          <w:lang w:bidi="fa-IR"/>
        </w:rPr>
        <w:br w:type="page"/>
      </w:r>
      <w:bookmarkStart w:id="0" w:name="OLE_LINK2"/>
    </w:p>
    <w:p w:rsidR="00274FE2" w:rsidRPr="00BE71D6" w:rsidRDefault="00274FE2" w:rsidP="00274FE2">
      <w:pPr>
        <w:pStyle w:val="Heading6"/>
        <w:spacing w:line="268" w:lineRule="auto"/>
        <w:rPr>
          <w:noProof/>
          <w:sz w:val="2"/>
          <w:szCs w:val="4"/>
          <w:rtl/>
        </w:rPr>
      </w:pPr>
      <w:r>
        <w:rPr>
          <w:rFonts w:hint="cs"/>
          <w:b w:val="0"/>
          <w:bCs w:val="0"/>
          <w:noProof/>
          <w:sz w:val="6"/>
          <w:szCs w:val="8"/>
          <w:rtl/>
          <w:lang w:bidi="fa-IR"/>
        </w:rPr>
        <w:lastRenderedPageBreak/>
        <w:drawing>
          <wp:anchor distT="0" distB="0" distL="114300" distR="114300" simplePos="0" relativeHeight="251658240" behindDoc="1" locked="0" layoutInCell="1" allowOverlap="1">
            <wp:simplePos x="0" y="0"/>
            <wp:positionH relativeFrom="column">
              <wp:posOffset>2440940</wp:posOffset>
            </wp:positionH>
            <wp:positionV relativeFrom="paragraph">
              <wp:posOffset>-240665</wp:posOffset>
            </wp:positionV>
            <wp:extent cx="832485" cy="1203325"/>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srcRect/>
                    <a:stretch>
                      <a:fillRect/>
                    </a:stretch>
                  </pic:blipFill>
                  <pic:spPr bwMode="auto">
                    <a:xfrm>
                      <a:off x="0" y="0"/>
                      <a:ext cx="832485" cy="1203325"/>
                    </a:xfrm>
                    <a:prstGeom prst="rect">
                      <a:avLst/>
                    </a:prstGeom>
                    <a:noFill/>
                    <a:ln w="9525">
                      <a:noFill/>
                      <a:miter lim="800000"/>
                      <a:headEnd/>
                      <a:tailEnd/>
                    </a:ln>
                  </pic:spPr>
                </pic:pic>
              </a:graphicData>
            </a:graphic>
          </wp:anchor>
        </w:drawing>
      </w:r>
    </w:p>
    <w:p w:rsidR="00274FE2" w:rsidRDefault="00274FE2" w:rsidP="00AF1F8A">
      <w:pPr>
        <w:pStyle w:val="Heading6"/>
        <w:tabs>
          <w:tab w:val="left" w:pos="476"/>
        </w:tabs>
        <w:jc w:val="center"/>
        <w:rPr>
          <w:sz w:val="40"/>
          <w:szCs w:val="40"/>
          <w:rtl/>
        </w:rPr>
      </w:pPr>
    </w:p>
    <w:p w:rsidR="00274FE2" w:rsidRDefault="00274FE2" w:rsidP="00AF1F8A">
      <w:pPr>
        <w:pStyle w:val="Heading6"/>
        <w:ind w:right="90"/>
        <w:jc w:val="center"/>
        <w:rPr>
          <w:sz w:val="40"/>
          <w:szCs w:val="40"/>
          <w:rtl/>
        </w:rPr>
      </w:pPr>
    </w:p>
    <w:bookmarkEnd w:id="0"/>
    <w:p w:rsidR="00AF1F8A" w:rsidRPr="004C6F7F" w:rsidRDefault="00AF1F8A" w:rsidP="00AF1F8A">
      <w:pPr>
        <w:pStyle w:val="Heading6"/>
        <w:tabs>
          <w:tab w:val="left" w:pos="630"/>
        </w:tabs>
        <w:ind w:left="26" w:right="90" w:firstLine="270"/>
        <w:jc w:val="center"/>
        <w:rPr>
          <w:rFonts w:cs="B Zar"/>
          <w:sz w:val="24"/>
          <w:szCs w:val="24"/>
          <w:lang w:bidi="fa-IR"/>
        </w:rPr>
      </w:pPr>
      <w:r w:rsidRPr="004C6F7F">
        <w:rPr>
          <w:rFonts w:cs="B Zar" w:hint="cs"/>
          <w:sz w:val="24"/>
          <w:szCs w:val="24"/>
          <w:rtl/>
        </w:rPr>
        <w:t>دانشگا</w:t>
      </w:r>
      <w:r w:rsidRPr="004C6F7F">
        <w:rPr>
          <w:rFonts w:cs="B Zar" w:hint="cs"/>
          <w:sz w:val="24"/>
          <w:szCs w:val="24"/>
          <w:rtl/>
          <w:lang w:bidi="fa-IR"/>
        </w:rPr>
        <w:t>ه آزاد اسلامي</w:t>
      </w:r>
    </w:p>
    <w:p w:rsidR="00AF1F8A" w:rsidRPr="004C6F7F" w:rsidRDefault="00AF1F8A" w:rsidP="00AF1F8A">
      <w:pPr>
        <w:pStyle w:val="Heading6"/>
        <w:tabs>
          <w:tab w:val="left" w:pos="630"/>
        </w:tabs>
        <w:ind w:left="450" w:right="90" w:hanging="180"/>
        <w:jc w:val="center"/>
        <w:rPr>
          <w:rFonts w:cs="B Zar"/>
          <w:sz w:val="24"/>
          <w:szCs w:val="24"/>
          <w:rtl/>
          <w:lang w:bidi="fa-IR"/>
        </w:rPr>
      </w:pPr>
      <w:r w:rsidRPr="004C6F7F">
        <w:rPr>
          <w:rFonts w:cs="B Zar" w:hint="cs"/>
          <w:sz w:val="24"/>
          <w:szCs w:val="24"/>
          <w:rtl/>
          <w:lang w:bidi="fa-IR"/>
        </w:rPr>
        <w:t>واحد تهران مرکز</w:t>
      </w:r>
    </w:p>
    <w:p w:rsidR="00AF1F8A" w:rsidRPr="004C6F7F" w:rsidRDefault="00AF1F8A" w:rsidP="00AF1F8A">
      <w:pPr>
        <w:tabs>
          <w:tab w:val="left" w:pos="630"/>
        </w:tabs>
        <w:ind w:left="450" w:right="90" w:hanging="180"/>
        <w:jc w:val="center"/>
        <w:rPr>
          <w:rFonts w:cs="B Zar"/>
          <w:b/>
          <w:bCs/>
          <w:sz w:val="38"/>
          <w:szCs w:val="38"/>
          <w:rtl/>
          <w:lang w:bidi="fa-IR"/>
        </w:rPr>
      </w:pPr>
    </w:p>
    <w:p w:rsidR="00AF1F8A" w:rsidRDefault="00AF1F8A" w:rsidP="00AF1F8A">
      <w:pPr>
        <w:tabs>
          <w:tab w:val="left" w:pos="630"/>
        </w:tabs>
        <w:ind w:left="450" w:right="90" w:hanging="180"/>
        <w:jc w:val="center"/>
        <w:rPr>
          <w:rFonts w:cs="B Zar"/>
          <w:b/>
          <w:bCs/>
          <w:sz w:val="42"/>
          <w:szCs w:val="42"/>
          <w:rtl/>
          <w:lang w:bidi="fa-IR"/>
        </w:rPr>
      </w:pPr>
    </w:p>
    <w:p w:rsidR="00AF1F8A" w:rsidRPr="004C6F7F" w:rsidRDefault="00AF1F8A" w:rsidP="00AF1F8A">
      <w:pPr>
        <w:tabs>
          <w:tab w:val="left" w:pos="630"/>
        </w:tabs>
        <w:ind w:left="450" w:right="90" w:hanging="180"/>
        <w:jc w:val="center"/>
        <w:rPr>
          <w:rFonts w:cs="B Zar"/>
          <w:b/>
          <w:bCs/>
          <w:sz w:val="42"/>
          <w:szCs w:val="42"/>
          <w:rtl/>
          <w:lang w:bidi="fa-IR"/>
        </w:rPr>
      </w:pPr>
    </w:p>
    <w:p w:rsidR="00AF1F8A" w:rsidRPr="004C6F7F" w:rsidRDefault="00AF1F8A" w:rsidP="00AF1F8A">
      <w:pPr>
        <w:tabs>
          <w:tab w:val="left" w:pos="630"/>
        </w:tabs>
        <w:spacing w:line="360" w:lineRule="auto"/>
        <w:ind w:left="450" w:right="90" w:hanging="180"/>
        <w:jc w:val="center"/>
        <w:rPr>
          <w:rFonts w:cs="B Zar"/>
          <w:b/>
          <w:bCs/>
          <w:sz w:val="36"/>
          <w:szCs w:val="36"/>
          <w:rtl/>
          <w:lang w:bidi="fa-IR"/>
        </w:rPr>
      </w:pPr>
      <w:r w:rsidRPr="004C6F7F">
        <w:rPr>
          <w:rFonts w:cs="B Zar" w:hint="cs"/>
          <w:b/>
          <w:bCs/>
          <w:sz w:val="36"/>
          <w:szCs w:val="36"/>
          <w:rtl/>
          <w:lang w:bidi="fa-IR"/>
        </w:rPr>
        <w:t>موضوع:</w:t>
      </w:r>
    </w:p>
    <w:p w:rsidR="00AF1F8A" w:rsidRPr="004C6F7F" w:rsidRDefault="00AF1F8A" w:rsidP="00AF1F8A">
      <w:pPr>
        <w:tabs>
          <w:tab w:val="left" w:pos="630"/>
        </w:tabs>
        <w:spacing w:line="360" w:lineRule="auto"/>
        <w:ind w:left="450" w:right="90" w:hanging="180"/>
        <w:jc w:val="center"/>
        <w:rPr>
          <w:rFonts w:cs="B Zar"/>
          <w:b/>
          <w:bCs/>
          <w:sz w:val="36"/>
          <w:szCs w:val="36"/>
          <w:rtl/>
          <w:lang w:bidi="fa-IR"/>
        </w:rPr>
      </w:pPr>
      <w:r w:rsidRPr="004C6F7F">
        <w:rPr>
          <w:rFonts w:cs="B Zar" w:hint="eastAsia"/>
          <w:b/>
          <w:bCs/>
          <w:sz w:val="36"/>
          <w:szCs w:val="36"/>
          <w:rtl/>
          <w:lang w:bidi="fa-IR"/>
        </w:rPr>
        <w:t>فولکور</w:t>
      </w:r>
      <w:r w:rsidRPr="004C6F7F">
        <w:rPr>
          <w:rFonts w:cs="B Zar"/>
          <w:b/>
          <w:bCs/>
          <w:sz w:val="36"/>
          <w:szCs w:val="36"/>
          <w:rtl/>
          <w:lang w:bidi="fa-IR"/>
        </w:rPr>
        <w:t xml:space="preserve"> </w:t>
      </w:r>
      <w:r w:rsidRPr="004C6F7F">
        <w:rPr>
          <w:rFonts w:cs="B Zar" w:hint="cs"/>
          <w:b/>
          <w:bCs/>
          <w:sz w:val="36"/>
          <w:szCs w:val="36"/>
          <w:rtl/>
          <w:lang w:bidi="fa-IR"/>
        </w:rPr>
        <w:t xml:space="preserve">و توجه به فرهنگ </w:t>
      </w:r>
      <w:r w:rsidR="001F3381">
        <w:rPr>
          <w:rFonts w:cs="B Zar" w:hint="cs"/>
          <w:b/>
          <w:bCs/>
          <w:sz w:val="36"/>
          <w:szCs w:val="36"/>
          <w:rtl/>
          <w:lang w:bidi="fa-IR"/>
        </w:rPr>
        <w:t>عامه</w:t>
      </w:r>
      <w:bookmarkStart w:id="1" w:name="_GoBack"/>
      <w:bookmarkEnd w:id="1"/>
      <w:r w:rsidRPr="004C6F7F">
        <w:rPr>
          <w:rFonts w:cs="B Zar" w:hint="cs"/>
          <w:b/>
          <w:bCs/>
          <w:sz w:val="36"/>
          <w:szCs w:val="36"/>
          <w:rtl/>
          <w:lang w:bidi="fa-IR"/>
        </w:rPr>
        <w:t xml:space="preserve"> در دوران های تاریخی مختلف، فواید و مضرات آن و نگاهی به خرافات و اعتقادات مردم</w:t>
      </w:r>
    </w:p>
    <w:p w:rsidR="00AF1F8A" w:rsidRDefault="00AF1F8A" w:rsidP="00AF1F8A">
      <w:pPr>
        <w:tabs>
          <w:tab w:val="left" w:pos="630"/>
        </w:tabs>
        <w:ind w:left="450" w:right="90" w:hanging="180"/>
        <w:jc w:val="center"/>
        <w:rPr>
          <w:rFonts w:cs="B Jadid"/>
          <w:b/>
          <w:bCs/>
          <w:sz w:val="46"/>
          <w:szCs w:val="46"/>
          <w:rtl/>
          <w:lang w:bidi="fa-IR"/>
        </w:rPr>
      </w:pPr>
    </w:p>
    <w:p w:rsidR="00AF1F8A" w:rsidRDefault="00AF1F8A" w:rsidP="00AF1F8A">
      <w:pPr>
        <w:tabs>
          <w:tab w:val="left" w:pos="630"/>
        </w:tabs>
        <w:ind w:left="450" w:right="90" w:hanging="180"/>
        <w:jc w:val="center"/>
        <w:rPr>
          <w:rFonts w:cs="B Jadid"/>
          <w:b/>
          <w:bCs/>
          <w:sz w:val="46"/>
          <w:szCs w:val="46"/>
          <w:rtl/>
          <w:lang w:bidi="fa-IR"/>
        </w:rPr>
      </w:pPr>
    </w:p>
    <w:p w:rsidR="00AF1F8A" w:rsidRDefault="00AF1F8A" w:rsidP="00AF1F8A">
      <w:pPr>
        <w:tabs>
          <w:tab w:val="left" w:pos="630"/>
        </w:tabs>
        <w:ind w:left="450" w:right="90" w:hanging="180"/>
        <w:jc w:val="center"/>
        <w:rPr>
          <w:rFonts w:cs="B Jadid"/>
          <w:b/>
          <w:bCs/>
          <w:sz w:val="46"/>
          <w:szCs w:val="46"/>
          <w:rtl/>
          <w:lang w:bidi="fa-IR"/>
        </w:rPr>
      </w:pPr>
    </w:p>
    <w:p w:rsidR="00AF1F8A" w:rsidRPr="004C6F7F" w:rsidRDefault="00AF1F8A" w:rsidP="00AF1F8A">
      <w:pPr>
        <w:tabs>
          <w:tab w:val="left" w:pos="630"/>
        </w:tabs>
        <w:ind w:left="450" w:right="90" w:hanging="180"/>
        <w:jc w:val="center"/>
        <w:rPr>
          <w:rFonts w:cs="B Zar"/>
          <w:b/>
          <w:bCs/>
          <w:sz w:val="32"/>
          <w:szCs w:val="32"/>
          <w:rtl/>
          <w:lang w:bidi="fa-IR"/>
        </w:rPr>
      </w:pPr>
      <w:r w:rsidRPr="004C6F7F">
        <w:rPr>
          <w:rFonts w:cs="B Zar" w:hint="cs"/>
          <w:b/>
          <w:bCs/>
          <w:sz w:val="32"/>
          <w:szCs w:val="32"/>
          <w:rtl/>
          <w:lang w:bidi="fa-IR"/>
        </w:rPr>
        <w:t>استاد راهنما:</w:t>
      </w:r>
    </w:p>
    <w:p w:rsidR="00AF1F8A" w:rsidRPr="004C6F7F" w:rsidRDefault="00AF1F8A" w:rsidP="00AF1F8A">
      <w:pPr>
        <w:tabs>
          <w:tab w:val="left" w:pos="630"/>
        </w:tabs>
        <w:ind w:left="450" w:right="90" w:hanging="180"/>
        <w:jc w:val="center"/>
        <w:rPr>
          <w:rFonts w:cs="B Zar"/>
          <w:b/>
          <w:bCs/>
          <w:sz w:val="32"/>
          <w:szCs w:val="32"/>
          <w:rtl/>
          <w:lang w:bidi="fa-IR"/>
        </w:rPr>
      </w:pPr>
    </w:p>
    <w:p w:rsidR="00AF1F8A" w:rsidRPr="004C6F7F" w:rsidRDefault="00AF1F8A" w:rsidP="00AF1F8A">
      <w:pPr>
        <w:tabs>
          <w:tab w:val="left" w:pos="630"/>
        </w:tabs>
        <w:ind w:left="450" w:right="90" w:hanging="180"/>
        <w:jc w:val="center"/>
        <w:rPr>
          <w:rFonts w:cs="B Zar"/>
          <w:b/>
          <w:bCs/>
          <w:sz w:val="32"/>
          <w:szCs w:val="32"/>
          <w:rtl/>
          <w:lang w:bidi="fa-IR"/>
        </w:rPr>
      </w:pPr>
    </w:p>
    <w:p w:rsidR="00AF1F8A" w:rsidRPr="004C6F7F" w:rsidRDefault="00AF1F8A" w:rsidP="00AF1F8A">
      <w:pPr>
        <w:tabs>
          <w:tab w:val="left" w:pos="630"/>
        </w:tabs>
        <w:ind w:left="450" w:right="90" w:hanging="180"/>
        <w:jc w:val="center"/>
        <w:rPr>
          <w:rFonts w:cs="B Zar"/>
          <w:b/>
          <w:bCs/>
          <w:sz w:val="32"/>
          <w:szCs w:val="32"/>
          <w:rtl/>
          <w:lang w:bidi="fa-IR"/>
        </w:rPr>
      </w:pPr>
      <w:r w:rsidRPr="004C6F7F">
        <w:rPr>
          <w:rFonts w:cs="B Zar" w:hint="cs"/>
          <w:b/>
          <w:bCs/>
          <w:sz w:val="32"/>
          <w:szCs w:val="32"/>
          <w:rtl/>
          <w:lang w:bidi="fa-IR"/>
        </w:rPr>
        <w:t>دانشجو:</w:t>
      </w:r>
    </w:p>
    <w:p w:rsidR="00274FE2" w:rsidRDefault="00274FE2" w:rsidP="00274FE2">
      <w:pPr>
        <w:rPr>
          <w:rtl/>
          <w:lang w:bidi="fa-IR"/>
        </w:rPr>
      </w:pPr>
    </w:p>
    <w:p w:rsidR="00274FE2" w:rsidRDefault="00274FE2" w:rsidP="00274FE2">
      <w:pPr>
        <w:pStyle w:val="BodyText"/>
        <w:ind w:right="-2410"/>
        <w:rPr>
          <w:rFonts w:cs="B Yagut"/>
          <w:b/>
          <w:bCs/>
          <w:rtl/>
        </w:rPr>
      </w:pPr>
    </w:p>
    <w:p w:rsidR="00AF1F8A" w:rsidRDefault="00AF1F8A" w:rsidP="00274FE2">
      <w:pPr>
        <w:pStyle w:val="BodyText"/>
        <w:rPr>
          <w:rFonts w:cs="B Yagut"/>
          <w:b/>
          <w:bCs/>
          <w:rtl/>
          <w:lang w:bidi="fa-IR"/>
        </w:rPr>
      </w:pPr>
    </w:p>
    <w:p w:rsidR="00AF1F8A" w:rsidRDefault="00AF1F8A" w:rsidP="00274FE2">
      <w:pPr>
        <w:pStyle w:val="BodyText"/>
        <w:rPr>
          <w:rFonts w:cs="B Yagut"/>
          <w:b/>
          <w:bCs/>
          <w:rtl/>
          <w:lang w:bidi="fa-IR"/>
        </w:rPr>
      </w:pPr>
    </w:p>
    <w:p w:rsidR="00274FE2" w:rsidRPr="009D145D" w:rsidRDefault="00274FE2" w:rsidP="00274FE2">
      <w:pPr>
        <w:pStyle w:val="BodyText"/>
        <w:rPr>
          <w:rFonts w:cs="B Yagut"/>
          <w:b/>
          <w:bCs/>
          <w:rtl/>
          <w:lang w:bidi="fa-IR"/>
        </w:rPr>
      </w:pPr>
      <w:r w:rsidRPr="009D145D">
        <w:rPr>
          <w:rFonts w:cs="B Yagut" w:hint="cs"/>
          <w:b/>
          <w:bCs/>
          <w:rtl/>
        </w:rPr>
        <w:lastRenderedPageBreak/>
        <w:t>فولكور چيست؟</w:t>
      </w:r>
    </w:p>
    <w:p w:rsidR="00274FE2" w:rsidRPr="009D145D" w:rsidRDefault="00274FE2" w:rsidP="00274FE2">
      <w:pPr>
        <w:pStyle w:val="BodyText"/>
        <w:rPr>
          <w:rFonts w:cs="B Yagut"/>
          <w:rtl/>
        </w:rPr>
      </w:pPr>
      <w:r w:rsidRPr="009D145D">
        <w:rPr>
          <w:rFonts w:cs="B Yagut"/>
          <w:rtl/>
        </w:rPr>
        <w:t xml:space="preserve">«اين كلمه را نخستين بار ويليام، جي، تامس </w:t>
      </w:r>
      <w:r w:rsidRPr="009D145D">
        <w:rPr>
          <w:rFonts w:cs="B Yagut"/>
        </w:rPr>
        <w:t>W.J.Thoms</w:t>
      </w:r>
      <w:r w:rsidRPr="009D145D">
        <w:rPr>
          <w:rFonts w:cs="B Yagut"/>
          <w:rtl/>
        </w:rPr>
        <w:t xml:space="preserve"> باستان‌شناسي انگليسي (در گذشته به سال 1885 م) وضع كرد و‌آن را طي نامه‌اي با امضاي مستعمار آمبروز مرتون «</w:t>
      </w:r>
      <w:r w:rsidRPr="009D145D">
        <w:rPr>
          <w:rFonts w:cs="B Yagut"/>
        </w:rPr>
        <w:t>Ambrose.Merton</w:t>
      </w:r>
      <w:r w:rsidRPr="009D145D">
        <w:rPr>
          <w:rFonts w:cs="B Yagut"/>
          <w:rtl/>
        </w:rPr>
        <w:t>» در نشري</w:t>
      </w:r>
      <w:r w:rsidRPr="009D145D">
        <w:rPr>
          <w:rFonts w:cs="B Yagut" w:hint="cs"/>
          <w:rtl/>
        </w:rPr>
        <w:t>ّة</w:t>
      </w:r>
      <w:r w:rsidRPr="009D145D">
        <w:rPr>
          <w:rFonts w:cs="B Yagut"/>
          <w:rtl/>
        </w:rPr>
        <w:t xml:space="preserve"> انجمن ادبي لندن در تاريخ 22 اوت 1846</w:t>
      </w:r>
      <w:r w:rsidRPr="009D145D">
        <w:rPr>
          <w:rStyle w:val="FootnoteReference"/>
          <w:rFonts w:cs="B Yagut"/>
          <w:rtl/>
        </w:rPr>
        <w:footnoteReference w:id="1"/>
      </w:r>
      <w:r w:rsidRPr="009D145D">
        <w:rPr>
          <w:rFonts w:cs="B Yagut"/>
          <w:rtl/>
        </w:rPr>
        <w:t xml:space="preserve"> به چاپ رساند. وي در توضيح اين اصطلاح تاكيد داشت كه مطالب و موضوعاتي «از قبيل عادات و آداب و مشاهدات و خرافات و ترانه‌ها و اصطلاحات و غير از اينها با</w:t>
      </w:r>
      <w:r w:rsidRPr="009D145D">
        <w:rPr>
          <w:rFonts w:cs="B Yagut" w:hint="cs"/>
          <w:rtl/>
        </w:rPr>
        <w:t>يد</w:t>
      </w:r>
      <w:r w:rsidRPr="009D145D">
        <w:rPr>
          <w:rFonts w:cs="B Yagut"/>
          <w:rtl/>
        </w:rPr>
        <w:t xml:space="preserve"> از ادوار قديم تدوين شود» تا هم در آينده پژوهشگران بتوانند از اين طريق به اطلاعات مورد علاقه خود دست يابند و همچنين بدين وسيله بتوان از زوال و فناي آثار و انديشه‌ها و ادبيات عام</w:t>
      </w:r>
      <w:r w:rsidRPr="009D145D">
        <w:rPr>
          <w:rFonts w:cs="B Yagut" w:hint="cs"/>
          <w:rtl/>
        </w:rPr>
        <w:t>ّ</w:t>
      </w:r>
      <w:r w:rsidRPr="009D145D">
        <w:rPr>
          <w:rFonts w:cs="B Yagut"/>
          <w:rtl/>
        </w:rPr>
        <w:t>ه، جلوگيري كرد.»</w:t>
      </w:r>
      <w:r w:rsidRPr="009D145D">
        <w:rPr>
          <w:rStyle w:val="FootnoteReference"/>
          <w:rFonts w:cs="B Yagut"/>
          <w:rtl/>
        </w:rPr>
        <w:footnoteReference w:id="2"/>
      </w:r>
    </w:p>
    <w:p w:rsidR="00274FE2" w:rsidRPr="009D145D" w:rsidRDefault="00274FE2" w:rsidP="00274FE2">
      <w:pPr>
        <w:pStyle w:val="BodyText"/>
        <w:rPr>
          <w:rFonts w:cs="B Yagut"/>
          <w:rtl/>
        </w:rPr>
      </w:pPr>
      <w:r w:rsidRPr="009D145D">
        <w:rPr>
          <w:rFonts w:cs="B Yagut"/>
          <w:rtl/>
        </w:rPr>
        <w:t>براي آنكه تعريف صحيحي از فولكلور كرده باشيم</w:t>
      </w:r>
      <w:r w:rsidRPr="009D145D">
        <w:rPr>
          <w:rFonts w:cs="B Yagut" w:hint="cs"/>
          <w:rtl/>
        </w:rPr>
        <w:t xml:space="preserve"> ابتدا</w:t>
      </w:r>
      <w:r w:rsidRPr="009D145D">
        <w:rPr>
          <w:rFonts w:cs="B Yagut"/>
          <w:rtl/>
        </w:rPr>
        <w:t xml:space="preserve"> بايد بگوئيم كه لفظ «فولك» يا مردم مي‌تواند به دسته‌اي از مردم از هر طبقه و گروهي كه مي‌خواهد باشد اطلاق شود</w:t>
      </w:r>
      <w:r w:rsidRPr="009D145D">
        <w:rPr>
          <w:rFonts w:cs="B Yagut" w:hint="cs"/>
          <w:rtl/>
        </w:rPr>
        <w:t>،</w:t>
      </w:r>
      <w:r w:rsidRPr="009D145D">
        <w:rPr>
          <w:rFonts w:cs="B Yagut"/>
          <w:rtl/>
        </w:rPr>
        <w:t xml:space="preserve"> بشرط آن كه آنان لا اقل در يك چيز با هم مشترك باشند. اين وجه اشتراك مي‌تواند شغل متشابه، دين مشترك، زبان واحد، و غيره باشد</w:t>
      </w:r>
      <w:r w:rsidRPr="009D145D">
        <w:rPr>
          <w:rFonts w:cs="B Yagut" w:hint="cs"/>
          <w:rtl/>
        </w:rPr>
        <w:t>.</w:t>
      </w:r>
      <w:r w:rsidRPr="009D145D">
        <w:rPr>
          <w:rFonts w:cs="B Yagut"/>
          <w:rtl/>
        </w:rPr>
        <w:t xml:space="preserve"> اما آنچه مهم است آنست كه اين گروه به هر ترتيب كه فرم گرفته باشد بايد سنت‌ها و رسومي خاص داشته و آن را از خود بداند.</w:t>
      </w:r>
    </w:p>
    <w:p w:rsidR="00274FE2" w:rsidRPr="009D145D" w:rsidRDefault="00274FE2" w:rsidP="00274FE2">
      <w:pPr>
        <w:pStyle w:val="BodyText"/>
        <w:rPr>
          <w:rFonts w:cs="B Yagut"/>
          <w:rtl/>
        </w:rPr>
      </w:pPr>
      <w:r w:rsidRPr="009D145D">
        <w:rPr>
          <w:rFonts w:cs="B Yagut"/>
          <w:rtl/>
        </w:rPr>
        <w:t>افراد گروه نبايد لزوما</w:t>
      </w:r>
      <w:r w:rsidRPr="009D145D">
        <w:rPr>
          <w:rFonts w:cs="B Yagut" w:hint="cs"/>
          <w:rtl/>
        </w:rPr>
        <w:t>ً</w:t>
      </w:r>
      <w:r w:rsidRPr="009D145D">
        <w:rPr>
          <w:rFonts w:cs="B Yagut"/>
          <w:rtl/>
        </w:rPr>
        <w:t xml:space="preserve"> يكديگر را بشناسند</w:t>
      </w:r>
      <w:r w:rsidRPr="009D145D">
        <w:rPr>
          <w:rFonts w:cs="B Yagut" w:hint="cs"/>
          <w:rtl/>
        </w:rPr>
        <w:t>،</w:t>
      </w:r>
      <w:r w:rsidRPr="009D145D">
        <w:rPr>
          <w:rFonts w:cs="B Yagut"/>
          <w:rtl/>
        </w:rPr>
        <w:t xml:space="preserve"> اما همه</w:t>
      </w:r>
      <w:r w:rsidRPr="009D145D">
        <w:rPr>
          <w:rFonts w:cs="B Yagut" w:hint="cs"/>
          <w:rtl/>
        </w:rPr>
        <w:t>‌ي</w:t>
      </w:r>
      <w:r w:rsidRPr="009D145D">
        <w:rPr>
          <w:rFonts w:cs="B Yagut"/>
          <w:rtl/>
        </w:rPr>
        <w:t xml:space="preserve"> آنها بايد آن رسم و سن</w:t>
      </w:r>
      <w:r w:rsidRPr="009D145D">
        <w:rPr>
          <w:rFonts w:cs="B Yagut" w:hint="cs"/>
          <w:rtl/>
        </w:rPr>
        <w:t>ّ</w:t>
      </w:r>
      <w:r w:rsidRPr="009D145D">
        <w:rPr>
          <w:rFonts w:cs="B Yagut"/>
          <w:rtl/>
        </w:rPr>
        <w:t>ت و چيزي</w:t>
      </w:r>
      <w:r w:rsidRPr="009D145D">
        <w:rPr>
          <w:rFonts w:cs="B Yagut" w:hint="cs"/>
          <w:rtl/>
        </w:rPr>
        <w:t xml:space="preserve"> را </w:t>
      </w:r>
      <w:r w:rsidRPr="009D145D">
        <w:rPr>
          <w:rFonts w:cs="B Yagut"/>
          <w:rtl/>
        </w:rPr>
        <w:t>كه با هم مشترك دارند آگاه يا ناخودآگاه دانسته و بايد توس</w:t>
      </w:r>
      <w:r w:rsidRPr="009D145D">
        <w:rPr>
          <w:rFonts w:cs="B Yagut" w:hint="cs"/>
          <w:rtl/>
        </w:rPr>
        <w:t>ّ</w:t>
      </w:r>
      <w:r w:rsidRPr="009D145D">
        <w:rPr>
          <w:rFonts w:cs="B Yagut"/>
          <w:rtl/>
        </w:rPr>
        <w:t xml:space="preserve">ط آن رشته به هم مربوط باشند. آن رشته از سنن و آداب </w:t>
      </w:r>
      <w:r w:rsidRPr="009D145D">
        <w:rPr>
          <w:rFonts w:cs="B Yagut" w:hint="cs"/>
          <w:rtl/>
        </w:rPr>
        <w:t xml:space="preserve">را </w:t>
      </w:r>
      <w:r w:rsidRPr="009D145D">
        <w:rPr>
          <w:rFonts w:cs="B Yagut"/>
          <w:rtl/>
        </w:rPr>
        <w:t>كه به آن اجتماع</w:t>
      </w:r>
      <w:r w:rsidRPr="009D145D">
        <w:rPr>
          <w:rFonts w:cs="B Yagut" w:hint="cs"/>
          <w:rtl/>
        </w:rPr>
        <w:t xml:space="preserve">، </w:t>
      </w:r>
      <w:r w:rsidRPr="009D145D">
        <w:rPr>
          <w:rFonts w:cs="B Yagut"/>
          <w:rtl/>
        </w:rPr>
        <w:t>شخصي</w:t>
      </w:r>
      <w:r w:rsidRPr="009D145D">
        <w:rPr>
          <w:rFonts w:cs="B Yagut" w:hint="cs"/>
          <w:rtl/>
        </w:rPr>
        <w:t>ّ</w:t>
      </w:r>
      <w:r w:rsidRPr="009D145D">
        <w:rPr>
          <w:rFonts w:cs="B Yagut"/>
          <w:rtl/>
        </w:rPr>
        <w:t>ت و هوي</w:t>
      </w:r>
      <w:r w:rsidRPr="009D145D">
        <w:rPr>
          <w:rFonts w:cs="B Yagut" w:hint="cs"/>
          <w:rtl/>
        </w:rPr>
        <w:t>ّ</w:t>
      </w:r>
      <w:r w:rsidRPr="009D145D">
        <w:rPr>
          <w:rFonts w:cs="B Yagut"/>
          <w:rtl/>
        </w:rPr>
        <w:t>ت و موجودي</w:t>
      </w:r>
      <w:r w:rsidRPr="009D145D">
        <w:rPr>
          <w:rFonts w:cs="B Yagut" w:hint="cs"/>
          <w:rtl/>
        </w:rPr>
        <w:t>ّ</w:t>
      </w:r>
      <w:r w:rsidRPr="009D145D">
        <w:rPr>
          <w:rFonts w:cs="B Yagut"/>
          <w:rtl/>
        </w:rPr>
        <w:t>ت مخصوص خودش را مي‌دهد</w:t>
      </w:r>
      <w:r w:rsidRPr="009D145D">
        <w:rPr>
          <w:rFonts w:cs="B Yagut" w:hint="cs"/>
          <w:rtl/>
        </w:rPr>
        <w:t>،</w:t>
      </w:r>
      <w:r w:rsidRPr="009D145D">
        <w:rPr>
          <w:rFonts w:cs="B Yagut"/>
          <w:rtl/>
        </w:rPr>
        <w:t xml:space="preserve"> فولكلور مي‌ناميم.»</w:t>
      </w:r>
      <w:r w:rsidRPr="009D145D">
        <w:rPr>
          <w:rStyle w:val="FootnoteReference"/>
          <w:rFonts w:cs="B Yagut"/>
          <w:rtl/>
        </w:rPr>
        <w:footnoteReference w:id="3"/>
      </w:r>
    </w:p>
    <w:p w:rsidR="00274FE2" w:rsidRPr="009D145D" w:rsidRDefault="00274FE2" w:rsidP="00274FE2">
      <w:pPr>
        <w:pStyle w:val="BodyText"/>
        <w:rPr>
          <w:rFonts w:cs="B Yagut"/>
          <w:rtl/>
        </w:rPr>
      </w:pPr>
      <w:r w:rsidRPr="009D145D">
        <w:rPr>
          <w:rFonts w:cs="B Yagut"/>
          <w:rtl/>
        </w:rPr>
        <w:lastRenderedPageBreak/>
        <w:t>«كلم</w:t>
      </w:r>
      <w:r w:rsidRPr="009D145D">
        <w:rPr>
          <w:rFonts w:cs="B Yagut" w:hint="cs"/>
          <w:rtl/>
        </w:rPr>
        <w:t>ة</w:t>
      </w:r>
      <w:r w:rsidRPr="009D145D">
        <w:rPr>
          <w:rFonts w:cs="B Yagut"/>
          <w:rtl/>
        </w:rPr>
        <w:t xml:space="preserve"> فولكلور مرك</w:t>
      </w:r>
      <w:r w:rsidRPr="009D145D">
        <w:rPr>
          <w:rFonts w:cs="B Yagut" w:hint="cs"/>
          <w:rtl/>
        </w:rPr>
        <w:t>ّ</w:t>
      </w:r>
      <w:r w:rsidRPr="009D145D">
        <w:rPr>
          <w:rFonts w:cs="B Yagut"/>
          <w:rtl/>
        </w:rPr>
        <w:t xml:space="preserve">ب است از دو  جزء «فولك» </w:t>
      </w:r>
      <w:r w:rsidRPr="009D145D">
        <w:rPr>
          <w:rFonts w:cs="B Yagut"/>
        </w:rPr>
        <w:t>Folk</w:t>
      </w:r>
      <w:r w:rsidRPr="009D145D">
        <w:rPr>
          <w:rFonts w:cs="B Yagut"/>
          <w:rtl/>
        </w:rPr>
        <w:t xml:space="preserve"> و «لر» </w:t>
      </w:r>
      <w:r w:rsidRPr="009D145D">
        <w:rPr>
          <w:rFonts w:cs="B Yagut"/>
        </w:rPr>
        <w:t>Lore</w:t>
      </w:r>
      <w:r w:rsidRPr="009D145D">
        <w:rPr>
          <w:rFonts w:cs="B Yagut"/>
          <w:rtl/>
        </w:rPr>
        <w:t xml:space="preserve"> كه جزء اول را در فارسي به مردم، توده، عامه، خلق و عوام ترجمه كرده‌اند و بخش دوم را به دانش، آ</w:t>
      </w:r>
      <w:r w:rsidRPr="009D145D">
        <w:rPr>
          <w:rFonts w:cs="B Yagut" w:hint="cs"/>
          <w:rtl/>
        </w:rPr>
        <w:t>گ</w:t>
      </w:r>
      <w:r w:rsidRPr="009D145D">
        <w:rPr>
          <w:rFonts w:cs="B Yagut"/>
          <w:rtl/>
        </w:rPr>
        <w:t>اهي، دانستني، معلومات، حكمت و كلماتي ازين گونه برگردانده‌اند. روي هم رفته مترجمان پارسي زبان در برابر فولكلور، اصطلاحات فرهنگ مردم، فرهنگ توده، دانش عوام، حكمت عاميانه، فلسفه عوام، معرفت عامه، دانستنيهاي عوام، فرهنگ عامه، فرهنگ قومي، آداب و رسوم و اعتقادات عامه، اخلاق عاميانه، توده‌شناسي و عباراتي ازين قبيل آورده‌اند. هنوز بين اين مترجمان توافقي ديده نشده كه تنها يك اصطلاح را برگزينند و به اين اختلاف آرا خاتمه دهند.</w:t>
      </w:r>
      <w:r w:rsidRPr="009D145D">
        <w:rPr>
          <w:rStyle w:val="FootnoteReference"/>
          <w:rFonts w:cs="B Yagut"/>
          <w:rtl/>
        </w:rPr>
        <w:footnoteReference w:id="4"/>
      </w:r>
    </w:p>
    <w:p w:rsidR="00274FE2" w:rsidRPr="009D145D" w:rsidRDefault="00274FE2" w:rsidP="00274FE2">
      <w:pPr>
        <w:pStyle w:val="BodyText"/>
        <w:rPr>
          <w:rFonts w:cs="B Yagut"/>
          <w:rtl/>
        </w:rPr>
      </w:pPr>
      <w:r w:rsidRPr="009D145D">
        <w:rPr>
          <w:rFonts w:cs="B Yagut"/>
          <w:rtl/>
        </w:rPr>
        <w:t>در تعاريف گوناگوني كه از فولكلور شده است، در مجموع، قلمرو آن بسيار وسيع به نظر مي‌رسد. در فرهنگ اصطلاحات ادبي جهان از جوزف شيپلي كه در سال 1955 ميلادي، منتشر شده است، پس از بحث درباره‌ي پذيرش واژه‌ي فولكلور از سوي كشورهاي مختلف، مي‌نويسد: در فرانسه و اسكانديناوي، فولكلور براي موضوعاتي از قبيل شكل‌هاي خانه‌هاي سنتي، اعمال كشاورزي، شيوه‌هاي مربوط به بافتني‌ها و منسوجات و ديگر جنبه‌هاي فرهنگ مادي كه معمولاَ به انسان شناسي اختصاص دارد، به كار برده مي‌شود. در انگلستان، اين لفظ، به سنت‌هاي شفاهي يا كتبي مردم و اظهارات و عبارات در زيبايي‌شناسي سنتي، منحصر مي‌شود. سپس مي‌افزايد: به نظر مي‌رسد هيچ اخ</w:t>
      </w:r>
      <w:r w:rsidRPr="009D145D">
        <w:rPr>
          <w:rFonts w:cs="B Yagut" w:hint="cs"/>
          <w:rtl/>
        </w:rPr>
        <w:t>تلاف</w:t>
      </w:r>
      <w:r w:rsidRPr="009D145D">
        <w:rPr>
          <w:rFonts w:cs="B Yagut"/>
          <w:rtl/>
        </w:rPr>
        <w:t>ي نباشد در اين كه اين اصطلاح، شامل همه‌ي انواع آوازها و ترانه‌هاي باستاني، قصه‌هاي كهن، خرافه‌ها، افسانه‌هاي محلي، ضرب‌المثل‌ها و معماها شود.</w:t>
      </w:r>
      <w:r w:rsidRPr="009D145D">
        <w:rPr>
          <w:rStyle w:val="FootnoteReference"/>
          <w:rFonts w:cs="B Yagut"/>
          <w:rtl/>
        </w:rPr>
        <w:footnoteReference w:id="5"/>
      </w:r>
    </w:p>
    <w:p w:rsidR="00274FE2" w:rsidRPr="009D145D" w:rsidRDefault="00274FE2" w:rsidP="00274FE2">
      <w:pPr>
        <w:pStyle w:val="BodyText"/>
        <w:rPr>
          <w:rFonts w:cs="B Yagut"/>
          <w:rtl/>
        </w:rPr>
      </w:pPr>
      <w:r w:rsidRPr="009D145D">
        <w:rPr>
          <w:rFonts w:cs="B Yagut"/>
          <w:rtl/>
        </w:rPr>
        <w:t>اما، قلمرو فولكلور يا دانش عامه، به همين جا محدود نمي‌شود. صادق هدايت، مي‌نو</w:t>
      </w:r>
      <w:r w:rsidRPr="009D145D">
        <w:rPr>
          <w:rFonts w:cs="B Yagut" w:hint="cs"/>
          <w:rtl/>
        </w:rPr>
        <w:t>ي</w:t>
      </w:r>
      <w:r w:rsidRPr="009D145D">
        <w:rPr>
          <w:rFonts w:cs="B Yagut"/>
          <w:rtl/>
        </w:rPr>
        <w:t>سد:</w:t>
      </w:r>
      <w:r w:rsidRPr="009D145D">
        <w:rPr>
          <w:rFonts w:cs="B Yagut" w:hint="cs"/>
          <w:rtl/>
        </w:rPr>
        <w:t xml:space="preserve"> </w:t>
      </w:r>
      <w:r w:rsidRPr="009D145D">
        <w:rPr>
          <w:rFonts w:cs="B Yagut"/>
          <w:rtl/>
        </w:rPr>
        <w:t>«امروز</w:t>
      </w:r>
      <w:r w:rsidRPr="009D145D">
        <w:rPr>
          <w:rFonts w:cs="B Yagut" w:hint="cs"/>
          <w:rtl/>
        </w:rPr>
        <w:t>ه</w:t>
      </w:r>
      <w:r w:rsidRPr="009D145D">
        <w:rPr>
          <w:rFonts w:cs="B Yagut"/>
          <w:rtl/>
        </w:rPr>
        <w:t xml:space="preserve"> فلكلر توسع</w:t>
      </w:r>
      <w:r w:rsidRPr="009D145D">
        <w:rPr>
          <w:rFonts w:cs="B Yagut" w:hint="cs"/>
          <w:rtl/>
        </w:rPr>
        <w:t>ة</w:t>
      </w:r>
      <w:r w:rsidRPr="009D145D">
        <w:rPr>
          <w:rFonts w:cs="B Yagut"/>
          <w:rtl/>
        </w:rPr>
        <w:t xml:space="preserve"> شگفت‌آوري به هم رسانيده، ابتدا محق</w:t>
      </w:r>
      <w:r w:rsidRPr="009D145D">
        <w:rPr>
          <w:rFonts w:cs="B Yagut" w:hint="cs"/>
          <w:rtl/>
        </w:rPr>
        <w:t>ّ</w:t>
      </w:r>
      <w:r w:rsidRPr="009D145D">
        <w:rPr>
          <w:rFonts w:cs="B Yagut"/>
          <w:rtl/>
        </w:rPr>
        <w:t>قين فلكلر، فقط ادبيات توده مانند: قصه‌ها، افسانه‌ها، آوازها، ترانه‌ها، مثل‌ها، معماها، متلك‌ها و غيره را جستجو مي‌كردند. كم كم تمام سنت‌هايي كه افواها</w:t>
      </w:r>
      <w:r w:rsidRPr="009D145D">
        <w:rPr>
          <w:rFonts w:cs="B Yagut" w:hint="cs"/>
          <w:rtl/>
        </w:rPr>
        <w:t>ً</w:t>
      </w:r>
      <w:r w:rsidRPr="009D145D">
        <w:rPr>
          <w:rFonts w:cs="B Yagut"/>
          <w:rtl/>
        </w:rPr>
        <w:t xml:space="preserve"> آموخته مي‌شود و آنچه مردمان در زندگي خارج از دبستان فرا مي‌گيرند </w:t>
      </w:r>
      <w:r w:rsidRPr="009D145D">
        <w:rPr>
          <w:rFonts w:cs="B Yagut"/>
          <w:rtl/>
        </w:rPr>
        <w:lastRenderedPageBreak/>
        <w:t>جزو آن گرديد. چندي بعد جستجوكنندگان اعتقادات و اوهام، پيشگويي راجع به وقت، نجوم، تاريخ طبيعي، طب و آنچه دانش توده ناميده مي‌شد مانند گاهنامه، سنگ‌شناسي، گياه‌شناسي، جانورشناسي و داروهايي</w:t>
      </w:r>
      <w:r w:rsidRPr="009D145D">
        <w:rPr>
          <w:rFonts w:cs="B Yagut" w:hint="cs"/>
          <w:rtl/>
        </w:rPr>
        <w:t xml:space="preserve"> </w:t>
      </w:r>
      <w:r w:rsidRPr="009D145D">
        <w:rPr>
          <w:rFonts w:cs="B Yagut"/>
          <w:rtl/>
        </w:rPr>
        <w:t>را كه عوام به كار مي‌بردند به اين علم افزودند. سپس اعتقادات و رسومي كه وابسته به هر يك از مراحل گوناگون زندگي مانند تولد، بچ</w:t>
      </w:r>
      <w:r w:rsidRPr="009D145D">
        <w:rPr>
          <w:rFonts w:cs="B Yagut" w:hint="cs"/>
          <w:rtl/>
        </w:rPr>
        <w:t>ّ</w:t>
      </w:r>
      <w:r w:rsidRPr="009D145D">
        <w:rPr>
          <w:rFonts w:cs="B Yagut"/>
          <w:rtl/>
        </w:rPr>
        <w:t>گي، جواني، زناشويي، پيري، مراسم سوگواري،جشن‌هاي مل</w:t>
      </w:r>
      <w:r w:rsidRPr="009D145D">
        <w:rPr>
          <w:rFonts w:cs="B Yagut" w:hint="cs"/>
          <w:rtl/>
        </w:rPr>
        <w:t>ّ</w:t>
      </w:r>
      <w:r w:rsidRPr="009D145D">
        <w:rPr>
          <w:rFonts w:cs="B Yagut"/>
          <w:rtl/>
        </w:rPr>
        <w:t>ي و مذهبي و عاداتي كه مربوط به زندگي عمومي مي‌شود، از جمله</w:t>
      </w:r>
      <w:r w:rsidRPr="009D145D">
        <w:rPr>
          <w:rFonts w:cs="B Yagut" w:hint="cs"/>
          <w:rtl/>
        </w:rPr>
        <w:t>،</w:t>
      </w:r>
      <w:r w:rsidRPr="009D145D">
        <w:rPr>
          <w:rFonts w:cs="B Yagut"/>
          <w:rtl/>
        </w:rPr>
        <w:t xml:space="preserve"> تمام پيشه‌ها و فنون توده، جز</w:t>
      </w:r>
      <w:r w:rsidRPr="009D145D">
        <w:rPr>
          <w:rFonts w:cs="B Yagut" w:hint="cs"/>
          <w:rtl/>
        </w:rPr>
        <w:t>ء</w:t>
      </w:r>
      <w:r w:rsidRPr="009D145D">
        <w:rPr>
          <w:rFonts w:cs="B Yagut"/>
          <w:rtl/>
        </w:rPr>
        <w:t xml:space="preserve"> اين علم به شمار آمد، زيرا هر پيشه اي ترانه‌ها و اوهام و اعتقادات مربوط</w:t>
      </w:r>
      <w:r w:rsidRPr="009D145D">
        <w:rPr>
          <w:rFonts w:cs="B Yagut" w:hint="cs"/>
          <w:rtl/>
        </w:rPr>
        <w:t xml:space="preserve"> به خود را</w:t>
      </w:r>
      <w:r w:rsidRPr="009D145D">
        <w:rPr>
          <w:rFonts w:cs="B Yagut"/>
          <w:rtl/>
        </w:rPr>
        <w:t xml:space="preserve"> دارد، مثلا</w:t>
      </w:r>
      <w:r w:rsidRPr="009D145D">
        <w:rPr>
          <w:rFonts w:cs="B Yagut" w:hint="cs"/>
          <w:rtl/>
        </w:rPr>
        <w:t>ً</w:t>
      </w:r>
      <w:r w:rsidRPr="009D145D">
        <w:rPr>
          <w:rFonts w:cs="B Yagut"/>
          <w:rtl/>
        </w:rPr>
        <w:t xml:space="preserve"> فلكلر شكار يا ماهيگيري جداست و هر شغلي ممكن است نزد محق</w:t>
      </w:r>
      <w:r w:rsidRPr="009D145D">
        <w:rPr>
          <w:rFonts w:cs="B Yagut" w:hint="cs"/>
          <w:rtl/>
        </w:rPr>
        <w:t>ّ</w:t>
      </w:r>
      <w:r w:rsidRPr="009D145D">
        <w:rPr>
          <w:rFonts w:cs="B Yagut"/>
          <w:rtl/>
        </w:rPr>
        <w:t>ق اين فن بايگاني عليحده داشته باشد، همچنين كتاب‌هايي كه از دست توده مردم بيرون آمده مانند: بهرام و گلندام، خاله سوسكه، عاق والدين و غيره بايد جمع‌آوري و مطابق تاريخ طبقه‌بندي شود.»</w:t>
      </w:r>
      <w:r w:rsidRPr="009D145D">
        <w:rPr>
          <w:rStyle w:val="FootnoteReference"/>
          <w:rFonts w:cs="B Yagut"/>
          <w:rtl/>
        </w:rPr>
        <w:footnoteReference w:id="6"/>
      </w:r>
    </w:p>
    <w:p w:rsidR="00274FE2" w:rsidRPr="009D145D" w:rsidRDefault="00274FE2" w:rsidP="00274FE2">
      <w:pPr>
        <w:pStyle w:val="BodyText"/>
        <w:rPr>
          <w:rFonts w:cs="B Yagut"/>
          <w:rtl/>
        </w:rPr>
      </w:pPr>
      <w:r w:rsidRPr="009D145D">
        <w:rPr>
          <w:rFonts w:cs="B Yagut"/>
          <w:rtl/>
        </w:rPr>
        <w:t>وقتي كه از فولكلور مل</w:t>
      </w:r>
      <w:r w:rsidRPr="009D145D">
        <w:rPr>
          <w:rFonts w:cs="B Yagut" w:hint="cs"/>
          <w:rtl/>
        </w:rPr>
        <w:t>ّ</w:t>
      </w:r>
      <w:r w:rsidRPr="009D145D">
        <w:rPr>
          <w:rFonts w:cs="B Yagut"/>
          <w:rtl/>
        </w:rPr>
        <w:t>تي سخن به ميان مي‌آيد، سخن از افسانه‌ها، ترانه‌ها، عقايد، آداب و رسوم، مذهب، گويش‌ها، ضرب‌المثل‌ها، چيستان‌ها، بازي‌ها و هزاران پديده</w:t>
      </w:r>
      <w:r w:rsidRPr="009D145D">
        <w:rPr>
          <w:rFonts w:cs="B Yagut" w:hint="cs"/>
          <w:rtl/>
        </w:rPr>
        <w:t xml:space="preserve">‌ي </w:t>
      </w:r>
      <w:r w:rsidRPr="009D145D">
        <w:rPr>
          <w:rFonts w:cs="B Yagut"/>
          <w:rtl/>
        </w:rPr>
        <w:t>ديگر اجتماعي است كه بازگوكننده</w:t>
      </w:r>
      <w:r w:rsidRPr="009D145D">
        <w:rPr>
          <w:rFonts w:cs="B Yagut" w:hint="cs"/>
          <w:rtl/>
        </w:rPr>
        <w:t>‌ي</w:t>
      </w:r>
      <w:r w:rsidRPr="009D145D">
        <w:rPr>
          <w:rFonts w:cs="B Yagut"/>
          <w:rtl/>
        </w:rPr>
        <w:t xml:space="preserve"> شيوه</w:t>
      </w:r>
      <w:r w:rsidRPr="009D145D">
        <w:rPr>
          <w:rFonts w:cs="B Yagut" w:hint="cs"/>
          <w:rtl/>
        </w:rPr>
        <w:t>‌ي</w:t>
      </w:r>
      <w:r w:rsidRPr="009D145D">
        <w:rPr>
          <w:rFonts w:cs="B Yagut"/>
          <w:rtl/>
        </w:rPr>
        <w:t xml:space="preserve"> واقعي زندگي، </w:t>
      </w:r>
      <w:r w:rsidRPr="009D145D">
        <w:rPr>
          <w:rFonts w:cs="B Yagut" w:hint="cs"/>
          <w:rtl/>
        </w:rPr>
        <w:t xml:space="preserve">انديشه و احساسات آن مردم است. در حقيقت، دنياي فولكلور، دنياي واقعي </w:t>
      </w:r>
      <w:r w:rsidRPr="009D145D">
        <w:rPr>
          <w:rFonts w:cs="B Yagut"/>
          <w:rtl/>
        </w:rPr>
        <w:t>توده‌هاست؛ توده‌هاي مردمي كه از دير باز زيسته‌اند، انديشيده‌اند، خنديده‌اند، گريسته‌اند، شكست خورده‌اند، پيروز شده‌اند، نيايش كرده‌اند و عاصي شده‌اند، سپس در همان دنياي شگفت‌ان</w:t>
      </w:r>
      <w:r w:rsidRPr="009D145D">
        <w:rPr>
          <w:rFonts w:cs="B Yagut" w:hint="cs"/>
          <w:rtl/>
        </w:rPr>
        <w:t>گ</w:t>
      </w:r>
      <w:r w:rsidRPr="009D145D">
        <w:rPr>
          <w:rFonts w:cs="B Yagut"/>
          <w:rtl/>
        </w:rPr>
        <w:t>يز مرده‌اند؛ در حالي كه همه چيز خود را چون يادمان و يادگاري گرانبها و مقد</w:t>
      </w:r>
      <w:r w:rsidRPr="009D145D">
        <w:rPr>
          <w:rFonts w:cs="B Yagut" w:hint="cs"/>
          <w:rtl/>
        </w:rPr>
        <w:t>ّ</w:t>
      </w:r>
      <w:r w:rsidRPr="009D145D">
        <w:rPr>
          <w:rFonts w:cs="B Yagut"/>
          <w:rtl/>
        </w:rPr>
        <w:t>س به نسل‌هاي پس از خود سپرده‌اند و نسل‌هاي نسل بدين شيوه روزگارگذرانده‌اند.</w:t>
      </w:r>
      <w:r w:rsidRPr="009D145D">
        <w:rPr>
          <w:rStyle w:val="FootnoteReference"/>
          <w:rFonts w:cs="B Yagut"/>
          <w:rtl/>
        </w:rPr>
        <w:footnoteReference w:id="7"/>
      </w:r>
    </w:p>
    <w:p w:rsidR="00274FE2" w:rsidRPr="009D145D" w:rsidRDefault="00274FE2" w:rsidP="00274FE2">
      <w:pPr>
        <w:pStyle w:val="BodyText"/>
        <w:rPr>
          <w:rFonts w:cs="B Yagut"/>
          <w:rtl/>
        </w:rPr>
      </w:pPr>
      <w:r w:rsidRPr="009D145D">
        <w:rPr>
          <w:rFonts w:cs="B Yagut"/>
          <w:rtl/>
        </w:rPr>
        <w:lastRenderedPageBreak/>
        <w:t xml:space="preserve">سي اس برن </w:t>
      </w:r>
      <w:r w:rsidRPr="009D145D">
        <w:rPr>
          <w:rFonts w:cs="B Yagut"/>
        </w:rPr>
        <w:t>(C.S.Burn)</w:t>
      </w:r>
      <w:r w:rsidRPr="009D145D">
        <w:rPr>
          <w:rFonts w:cs="B Yagut"/>
          <w:rtl/>
        </w:rPr>
        <w:t>،</w:t>
      </w:r>
      <w:r w:rsidRPr="009D145D">
        <w:rPr>
          <w:rFonts w:cs="B Yagut" w:hint="cs"/>
          <w:rtl/>
        </w:rPr>
        <w:t xml:space="preserve"> در مقاله‌اي،</w:t>
      </w:r>
      <w:r w:rsidRPr="009D145D">
        <w:rPr>
          <w:rFonts w:cs="B Yagut"/>
          <w:rtl/>
        </w:rPr>
        <w:t xml:space="preserve"> فولكلور را چنين تعريف مي‌كند: «فولكلور، درواقع نحو</w:t>
      </w:r>
      <w:r w:rsidRPr="009D145D">
        <w:rPr>
          <w:rFonts w:cs="B Yagut" w:hint="cs"/>
          <w:rtl/>
        </w:rPr>
        <w:t>ة</w:t>
      </w:r>
      <w:r w:rsidRPr="009D145D">
        <w:rPr>
          <w:rFonts w:cs="B Yagut"/>
          <w:rtl/>
        </w:rPr>
        <w:t xml:space="preserve"> جهان‌بيني و روان‌شناسي انسان عامي و انديش</w:t>
      </w:r>
      <w:r w:rsidRPr="009D145D">
        <w:rPr>
          <w:rFonts w:cs="B Yagut" w:hint="cs"/>
          <w:rtl/>
        </w:rPr>
        <w:t>ة</w:t>
      </w:r>
      <w:r w:rsidRPr="009D145D">
        <w:rPr>
          <w:rFonts w:cs="B Yagut"/>
          <w:rtl/>
        </w:rPr>
        <w:t xml:space="preserve"> او در باب فلسفه،دين، علوم، نهادهاي اجتماعي، تشريفات و جشنها، اشعار و ترانه</w:t>
      </w:r>
      <w:r w:rsidRPr="009D145D">
        <w:rPr>
          <w:rFonts w:cs="B Yagut" w:hint="cs"/>
          <w:rtl/>
        </w:rPr>
        <w:t>‌</w:t>
      </w:r>
      <w:r w:rsidRPr="009D145D">
        <w:rPr>
          <w:rFonts w:cs="B Yagut"/>
          <w:rtl/>
        </w:rPr>
        <w:t>ها، هنرهاي عاميانه و ادبيات شفاهي است.»</w:t>
      </w:r>
      <w:r w:rsidRPr="009D145D">
        <w:rPr>
          <w:rStyle w:val="FootnoteReference"/>
          <w:rFonts w:cs="B Yagut"/>
          <w:rtl/>
        </w:rPr>
        <w:footnoteReference w:id="8"/>
      </w:r>
    </w:p>
    <w:p w:rsidR="00274FE2" w:rsidRPr="009D145D" w:rsidRDefault="00274FE2" w:rsidP="00274FE2">
      <w:pPr>
        <w:pStyle w:val="BodyText"/>
        <w:rPr>
          <w:rFonts w:cs="B Yagut"/>
          <w:rtl/>
        </w:rPr>
      </w:pPr>
      <w:r w:rsidRPr="009D145D">
        <w:rPr>
          <w:rFonts w:cs="B Yagut"/>
          <w:rtl/>
        </w:rPr>
        <w:t xml:space="preserve">«آنچه مسلم است قلمرو فولكلور علاوه بر ادبيات شفاهي، آداب، رسوم و معتقدات عاميانه، شامل تمام علوم، هنرها، تكنيكها، صنايع و حرفه‌هاي توده مردم نيز مي‌شود. </w:t>
      </w:r>
    </w:p>
    <w:p w:rsidR="00274FE2" w:rsidRPr="009D145D" w:rsidRDefault="00274FE2" w:rsidP="00274FE2">
      <w:pPr>
        <w:pStyle w:val="BodyText"/>
        <w:rPr>
          <w:rFonts w:cs="B Yagut"/>
          <w:rtl/>
        </w:rPr>
      </w:pPr>
      <w:r w:rsidRPr="009D145D">
        <w:rPr>
          <w:rFonts w:cs="B Yagut"/>
          <w:rtl/>
        </w:rPr>
        <w:t>قلمرو فرهنگ عامه گسترده است. ذهنيات هر فرد از باورها، پندارها، انديشه‌ها و سخن وادب عامه انباشته است. بسياري از تدابي</w:t>
      </w:r>
      <w:r w:rsidRPr="009D145D">
        <w:rPr>
          <w:rFonts w:cs="B Yagut" w:hint="cs"/>
          <w:rtl/>
        </w:rPr>
        <w:t>ر</w:t>
      </w:r>
      <w:r w:rsidRPr="009D145D">
        <w:rPr>
          <w:rFonts w:cs="B Yagut"/>
          <w:rtl/>
        </w:rPr>
        <w:t>ي را كه انسان براي برآوردن نيازهاي اولي</w:t>
      </w:r>
      <w:r w:rsidRPr="009D145D">
        <w:rPr>
          <w:rFonts w:cs="B Yagut" w:hint="cs"/>
          <w:rtl/>
        </w:rPr>
        <w:t>ة</w:t>
      </w:r>
      <w:r w:rsidRPr="009D145D">
        <w:rPr>
          <w:rFonts w:cs="B Yagut"/>
          <w:rtl/>
        </w:rPr>
        <w:t xml:space="preserve"> خود از قبيل تهيه پوشاك و خوراك و ابزار كار و مسكن به كار مي‌گيرد و سهم عمده‌اي از آنچه را كه براي گذران اوقات فراغت در نظر دارد و بخشي از رفتار اجتماعي، مثل آداب رفت و آمد، آداب سفره، نشست و برخاست، خيز و خفت، ديد و بازديد، تعارفات، مراسم و آداب زندگي از زادن تا مردن، هم</w:t>
      </w:r>
      <w:r w:rsidRPr="009D145D">
        <w:rPr>
          <w:rFonts w:cs="B Yagut" w:hint="cs"/>
          <w:rtl/>
        </w:rPr>
        <w:t>ة</w:t>
      </w:r>
      <w:r w:rsidRPr="009D145D">
        <w:rPr>
          <w:rFonts w:cs="B Yagut"/>
          <w:rtl/>
        </w:rPr>
        <w:t xml:space="preserve"> اينها گوشه‌اي از فرهنگ عامه را تشكيل مي‌دهد. اصولاَ «تصو</w:t>
      </w:r>
      <w:r w:rsidRPr="009D145D">
        <w:rPr>
          <w:rFonts w:cs="B Yagut" w:hint="cs"/>
          <w:rtl/>
        </w:rPr>
        <w:t>ّ</w:t>
      </w:r>
      <w:r w:rsidRPr="009D145D">
        <w:rPr>
          <w:rFonts w:cs="B Yagut"/>
          <w:rtl/>
        </w:rPr>
        <w:t>ر اين كه فردي در جامعه بتواند بدون تكيه بر فرهنگ عامه زندگي كند، محال مي‌نمايد».</w:t>
      </w:r>
      <w:r w:rsidRPr="009D145D">
        <w:rPr>
          <w:rStyle w:val="FootnoteReference"/>
          <w:rFonts w:cs="B Yagut"/>
          <w:rtl/>
        </w:rPr>
        <w:footnoteReference w:id="9"/>
      </w:r>
    </w:p>
    <w:p w:rsidR="00790D62" w:rsidRDefault="00790D62"/>
    <w:sectPr w:rsidR="00790D62" w:rsidSect="002F7E4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85C" w:rsidRDefault="0027585C" w:rsidP="00274FE2">
      <w:r>
        <w:separator/>
      </w:r>
    </w:p>
  </w:endnote>
  <w:endnote w:type="continuationSeparator" w:id="0">
    <w:p w:rsidR="0027585C" w:rsidRDefault="0027585C" w:rsidP="0027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85C" w:rsidRDefault="0027585C" w:rsidP="00274FE2">
      <w:r>
        <w:separator/>
      </w:r>
    </w:p>
  </w:footnote>
  <w:footnote w:type="continuationSeparator" w:id="0">
    <w:p w:rsidR="0027585C" w:rsidRDefault="0027585C" w:rsidP="00274FE2">
      <w:r>
        <w:continuationSeparator/>
      </w:r>
    </w:p>
  </w:footnote>
  <w:footnote w:id="1">
    <w:p w:rsidR="00274FE2" w:rsidRPr="00333AD3" w:rsidRDefault="00274FE2" w:rsidP="00274FE2">
      <w:pPr>
        <w:pStyle w:val="FootnoteText"/>
        <w:rPr>
          <w:rFonts w:cs="B Yagut"/>
          <w:rtl/>
        </w:rPr>
      </w:pPr>
      <w:r w:rsidRPr="00333AD3">
        <w:rPr>
          <w:rStyle w:val="FootnoteReference"/>
          <w:rFonts w:cs="B Yagut"/>
        </w:rPr>
        <w:footnoteRef/>
      </w:r>
      <w:r w:rsidRPr="00333AD3">
        <w:rPr>
          <w:rFonts w:cs="B Yagut"/>
          <w:rtl/>
        </w:rPr>
        <w:t xml:space="preserve"> </w:t>
      </w:r>
      <w:r w:rsidRPr="00333AD3">
        <w:rPr>
          <w:rFonts w:cs="B Yagut" w:hint="cs"/>
          <w:rtl/>
        </w:rPr>
        <w:t>- در برخي منابع، زمان وضع واژه‌اي فولكور را سال 1885 ذكر كرده‌اند. رك. هدايت، صادق؛ فرهنگ عاميانه مردم ايران؛ گردآورنده: جهانگير هدايت؛ چاپ پنجم؛ تهران: نشر چشمه، 1383، ص 233 ـ محجوب، محمد جعفر؛ «فرهنگ عوام»؛ «ادبيات عاميانه» ايران؛ به كوشش حسن ذوالفقاري؛ جلد اول؛ تهران: چشمه، 1382 ، ص 35</w:t>
      </w:r>
    </w:p>
  </w:footnote>
  <w:footnote w:id="2">
    <w:p w:rsidR="00274FE2" w:rsidRPr="00333AD3" w:rsidRDefault="00274FE2" w:rsidP="00274FE2">
      <w:pPr>
        <w:pStyle w:val="FootnoteText"/>
        <w:jc w:val="lowKashida"/>
        <w:rPr>
          <w:rFonts w:cs="B Yagut"/>
          <w:rtl/>
        </w:rPr>
      </w:pPr>
      <w:r w:rsidRPr="00333AD3">
        <w:rPr>
          <w:rStyle w:val="FootnoteReference"/>
          <w:rFonts w:cs="B Yagut"/>
          <w:rtl/>
        </w:rPr>
        <w:footnoteRef/>
      </w:r>
      <w:r w:rsidRPr="00333AD3">
        <w:rPr>
          <w:rFonts w:cs="B Yagut"/>
          <w:rtl/>
        </w:rPr>
        <w:t xml:space="preserve"> - بيهقي، حسينعلي؛ پژوهش و بررسي فرهنگ عامه در ايران،</w:t>
      </w:r>
      <w:r w:rsidRPr="00333AD3">
        <w:rPr>
          <w:rFonts w:cs="B Yagut" w:hint="cs"/>
          <w:rtl/>
        </w:rPr>
        <w:t>آستان قدس رضوي، 1365، ص</w:t>
      </w:r>
      <w:r w:rsidRPr="00333AD3">
        <w:rPr>
          <w:rFonts w:cs="B Yagut"/>
          <w:rtl/>
        </w:rPr>
        <w:t>ص17-18.</w:t>
      </w:r>
    </w:p>
  </w:footnote>
  <w:footnote w:id="3">
    <w:p w:rsidR="00274FE2" w:rsidRPr="00333AD3" w:rsidRDefault="00274FE2" w:rsidP="00274FE2">
      <w:pPr>
        <w:pStyle w:val="FootnoteText"/>
        <w:jc w:val="lowKashida"/>
        <w:rPr>
          <w:rFonts w:cs="B Yagut"/>
          <w:rtl/>
        </w:rPr>
      </w:pPr>
      <w:r w:rsidRPr="00333AD3">
        <w:rPr>
          <w:rStyle w:val="FootnoteReference"/>
          <w:rFonts w:cs="B Yagut"/>
          <w:rtl/>
        </w:rPr>
        <w:footnoteRef/>
      </w:r>
      <w:r w:rsidRPr="00333AD3">
        <w:rPr>
          <w:rFonts w:cs="B Yagut"/>
          <w:rtl/>
        </w:rPr>
        <w:t xml:space="preserve"> - لريمر، د.ل.؛ فرهنگ مردم كرمان؛ به كوشش فريدون و همن؛ تهران: بنياد فرهنگ ايران، 1353، ص</w:t>
      </w:r>
      <w:r w:rsidRPr="00333AD3">
        <w:rPr>
          <w:rFonts w:cs="B Yagut" w:hint="cs"/>
          <w:rtl/>
        </w:rPr>
        <w:t>ص</w:t>
      </w:r>
      <w:r w:rsidRPr="00333AD3">
        <w:rPr>
          <w:rFonts w:cs="B Yagut"/>
          <w:rtl/>
        </w:rPr>
        <w:t xml:space="preserve"> چهارده </w:t>
      </w:r>
      <w:r w:rsidRPr="00333AD3">
        <w:rPr>
          <w:rFonts w:cs="B Yagut"/>
        </w:rPr>
        <w:t>–</w:t>
      </w:r>
      <w:r w:rsidRPr="00333AD3">
        <w:rPr>
          <w:rFonts w:cs="B Yagut"/>
          <w:rtl/>
        </w:rPr>
        <w:t xml:space="preserve"> شانزده، </w:t>
      </w:r>
      <w:r w:rsidRPr="00333AD3">
        <w:rPr>
          <w:rFonts w:cs="B Yagut" w:hint="cs"/>
          <w:rtl/>
        </w:rPr>
        <w:t>(</w:t>
      </w:r>
      <w:r w:rsidRPr="00333AD3">
        <w:rPr>
          <w:rFonts w:cs="B Yagut"/>
          <w:rtl/>
        </w:rPr>
        <w:t>مقدمه</w:t>
      </w:r>
      <w:r w:rsidRPr="00333AD3">
        <w:rPr>
          <w:rFonts w:cs="B Yagut" w:hint="cs"/>
          <w:rtl/>
        </w:rPr>
        <w:t>)</w:t>
      </w:r>
      <w:r w:rsidRPr="00333AD3">
        <w:rPr>
          <w:rFonts w:cs="B Yagut"/>
          <w:rtl/>
        </w:rPr>
        <w:t>.</w:t>
      </w:r>
    </w:p>
  </w:footnote>
  <w:footnote w:id="4">
    <w:p w:rsidR="00274FE2" w:rsidRPr="00333AD3" w:rsidRDefault="00274FE2" w:rsidP="00274FE2">
      <w:pPr>
        <w:pStyle w:val="FootnoteText"/>
        <w:jc w:val="lowKashida"/>
        <w:rPr>
          <w:rFonts w:cs="B Yagut"/>
          <w:rtl/>
        </w:rPr>
      </w:pPr>
      <w:r w:rsidRPr="00333AD3">
        <w:rPr>
          <w:rStyle w:val="FootnoteReference"/>
          <w:rFonts w:cs="B Yagut"/>
          <w:rtl/>
        </w:rPr>
        <w:footnoteRef/>
      </w:r>
      <w:r w:rsidRPr="00333AD3">
        <w:rPr>
          <w:rFonts w:cs="B Yagut"/>
          <w:rtl/>
        </w:rPr>
        <w:t xml:space="preserve"> - بيهقي</w:t>
      </w:r>
      <w:r w:rsidRPr="00333AD3">
        <w:rPr>
          <w:rFonts w:cs="B Yagut" w:hint="cs"/>
          <w:rtl/>
        </w:rPr>
        <w:t>؛</w:t>
      </w:r>
      <w:r w:rsidRPr="00333AD3">
        <w:rPr>
          <w:rFonts w:cs="B Yagut"/>
          <w:rtl/>
        </w:rPr>
        <w:t xml:space="preserve"> پژوهش و بررسي فرهنگ عامه در ايران، ص 18.</w:t>
      </w:r>
    </w:p>
  </w:footnote>
  <w:footnote w:id="5">
    <w:p w:rsidR="00274FE2" w:rsidRPr="00333AD3" w:rsidRDefault="00274FE2" w:rsidP="00274FE2">
      <w:pPr>
        <w:pStyle w:val="FootnoteText"/>
        <w:bidi w:val="0"/>
        <w:jc w:val="lowKashida"/>
        <w:rPr>
          <w:rFonts w:cs="B Yagut"/>
        </w:rPr>
      </w:pPr>
      <w:r w:rsidRPr="00333AD3">
        <w:rPr>
          <w:rStyle w:val="FootnoteReference"/>
          <w:rFonts w:cs="B Yagut"/>
          <w:rtl/>
        </w:rPr>
        <w:footnoteRef/>
      </w:r>
      <w:r w:rsidRPr="00333AD3">
        <w:rPr>
          <w:rFonts w:cs="B Yagut"/>
          <w:rtl/>
        </w:rPr>
        <w:t xml:space="preserve"> </w:t>
      </w:r>
      <w:r w:rsidRPr="00333AD3">
        <w:rPr>
          <w:rFonts w:cs="B Yagut"/>
        </w:rPr>
        <w:t xml:space="preserve">- Shipley, Joseph T., Dictionary of world Terms, </w:t>
      </w:r>
      <w:smartTag w:uri="urn:schemas-microsoft-com:office:smarttags" w:element="place">
        <w:smartTag w:uri="urn:schemas-microsoft-com:office:smarttags" w:element="country-region">
          <w:r w:rsidRPr="00333AD3">
            <w:rPr>
              <w:rFonts w:cs="B Yagut"/>
            </w:rPr>
            <w:t>Great Britain</w:t>
          </w:r>
        </w:smartTag>
      </w:smartTag>
      <w:r w:rsidRPr="00333AD3">
        <w:rPr>
          <w:rFonts w:cs="B Yagut"/>
        </w:rPr>
        <w:t>, 1955, p.161,162.</w:t>
      </w:r>
    </w:p>
  </w:footnote>
  <w:footnote w:id="6">
    <w:p w:rsidR="00274FE2" w:rsidRPr="00333AD3" w:rsidRDefault="00274FE2" w:rsidP="00274FE2">
      <w:pPr>
        <w:pStyle w:val="FootnoteText"/>
        <w:jc w:val="lowKashida"/>
        <w:rPr>
          <w:rFonts w:cs="B Yagut"/>
          <w:rtl/>
        </w:rPr>
      </w:pPr>
      <w:r w:rsidRPr="00333AD3">
        <w:rPr>
          <w:rStyle w:val="FootnoteReference"/>
          <w:rFonts w:cs="B Yagut"/>
          <w:rtl/>
        </w:rPr>
        <w:footnoteRef/>
      </w:r>
      <w:r w:rsidRPr="00333AD3">
        <w:rPr>
          <w:rFonts w:cs="B Yagut"/>
          <w:rtl/>
        </w:rPr>
        <w:t xml:space="preserve"> - هدايت</w:t>
      </w:r>
      <w:r w:rsidRPr="00333AD3">
        <w:rPr>
          <w:rFonts w:cs="B Yagut" w:hint="cs"/>
          <w:rtl/>
        </w:rPr>
        <w:t xml:space="preserve">؛ </w:t>
      </w:r>
      <w:r w:rsidRPr="00333AD3">
        <w:rPr>
          <w:rFonts w:cs="B Yagut"/>
          <w:rtl/>
        </w:rPr>
        <w:t>فرهنگ عاميانه مردم ايران؛ ص 234.</w:t>
      </w:r>
    </w:p>
  </w:footnote>
  <w:footnote w:id="7">
    <w:p w:rsidR="00274FE2" w:rsidRPr="00333AD3" w:rsidRDefault="00274FE2" w:rsidP="00274FE2">
      <w:pPr>
        <w:pStyle w:val="FootnoteText"/>
        <w:jc w:val="lowKashida"/>
        <w:rPr>
          <w:rFonts w:cs="B Yagut"/>
          <w:rtl/>
        </w:rPr>
      </w:pPr>
      <w:r w:rsidRPr="00333AD3">
        <w:rPr>
          <w:rStyle w:val="FootnoteReference"/>
          <w:rFonts w:cs="B Yagut"/>
          <w:rtl/>
        </w:rPr>
        <w:footnoteRef/>
      </w:r>
      <w:r w:rsidRPr="00333AD3">
        <w:rPr>
          <w:rFonts w:cs="B Yagut"/>
          <w:rtl/>
        </w:rPr>
        <w:t xml:space="preserve"> - طباطبايي اردكاني، محمود؛ فرهنگ عام</w:t>
      </w:r>
      <w:r w:rsidRPr="00333AD3">
        <w:rPr>
          <w:rFonts w:cs="B Yagut" w:hint="cs"/>
          <w:rtl/>
        </w:rPr>
        <w:t>ّة</w:t>
      </w:r>
      <w:r w:rsidRPr="00333AD3">
        <w:rPr>
          <w:rFonts w:cs="B Yagut"/>
          <w:rtl/>
        </w:rPr>
        <w:t xml:space="preserve"> اردكان؛ ويراستار: ژامك طباطبايي اردكاني؛ تهران: شوراي عمومي استان يزد، 1381، ص 333.</w:t>
      </w:r>
    </w:p>
  </w:footnote>
  <w:footnote w:id="8">
    <w:p w:rsidR="00274FE2" w:rsidRPr="00333AD3" w:rsidRDefault="00274FE2" w:rsidP="00274FE2">
      <w:pPr>
        <w:pStyle w:val="FootnoteText"/>
        <w:jc w:val="lowKashida"/>
        <w:rPr>
          <w:rFonts w:cs="B Yagut"/>
          <w:rtl/>
        </w:rPr>
      </w:pPr>
      <w:r w:rsidRPr="00333AD3">
        <w:rPr>
          <w:rStyle w:val="FootnoteReference"/>
          <w:rFonts w:cs="B Yagut"/>
          <w:rtl/>
        </w:rPr>
        <w:footnoteRef/>
      </w:r>
      <w:r w:rsidRPr="00333AD3">
        <w:rPr>
          <w:rFonts w:cs="B Yagut"/>
          <w:rtl/>
        </w:rPr>
        <w:t xml:space="preserve"> - بيهقي ؛ پژوهش و بررسي فرهنگ عامه در ايران، </w:t>
      </w:r>
      <w:r w:rsidRPr="00333AD3">
        <w:rPr>
          <w:rFonts w:cs="B Yagut" w:hint="cs"/>
          <w:rtl/>
        </w:rPr>
        <w:t>ص</w:t>
      </w:r>
      <w:r w:rsidRPr="00333AD3">
        <w:rPr>
          <w:rFonts w:cs="B Yagut"/>
          <w:rtl/>
        </w:rPr>
        <w:t xml:space="preserve">ص 19 </w:t>
      </w:r>
      <w:r w:rsidRPr="00333AD3">
        <w:rPr>
          <w:rFonts w:cs="B Yagut"/>
        </w:rPr>
        <w:t>–</w:t>
      </w:r>
      <w:r w:rsidRPr="00333AD3">
        <w:rPr>
          <w:rFonts w:cs="B Yagut"/>
          <w:rtl/>
        </w:rPr>
        <w:t xml:space="preserve"> 20.</w:t>
      </w:r>
    </w:p>
  </w:footnote>
  <w:footnote w:id="9">
    <w:p w:rsidR="00274FE2" w:rsidRPr="00333AD3" w:rsidRDefault="00274FE2" w:rsidP="00274FE2">
      <w:pPr>
        <w:pStyle w:val="FootnoteText"/>
        <w:rPr>
          <w:rFonts w:cs="B Yagut"/>
          <w:lang w:bidi="fa-IR"/>
        </w:rPr>
      </w:pPr>
      <w:r w:rsidRPr="00333AD3">
        <w:rPr>
          <w:rStyle w:val="FootnoteReference"/>
          <w:rFonts w:cs="B Yagut"/>
        </w:rPr>
        <w:footnoteRef/>
      </w:r>
      <w:r w:rsidRPr="00333AD3">
        <w:rPr>
          <w:rFonts w:cs="B Yagut"/>
          <w:rtl/>
        </w:rPr>
        <w:t xml:space="preserve"> </w:t>
      </w:r>
      <w:r w:rsidRPr="00333AD3">
        <w:rPr>
          <w:rFonts w:cs="B Yagut" w:hint="cs"/>
          <w:rtl/>
          <w:lang w:bidi="fa-IR"/>
        </w:rPr>
        <w:t>- همان مأخذ، ص 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74FE2"/>
    <w:rsid w:val="00172A15"/>
    <w:rsid w:val="001F3381"/>
    <w:rsid w:val="00274FE2"/>
    <w:rsid w:val="0027585C"/>
    <w:rsid w:val="002F7E46"/>
    <w:rsid w:val="004D4064"/>
    <w:rsid w:val="00570CB8"/>
    <w:rsid w:val="00790D62"/>
    <w:rsid w:val="007A4BB2"/>
    <w:rsid w:val="00AF1F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3EA1B55"/>
  <w15:docId w15:val="{C84E47ED-454F-4BBC-B0AF-78B7C735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4FE2"/>
    <w:pPr>
      <w:bidi/>
      <w:spacing w:after="0" w:line="240" w:lineRule="auto"/>
    </w:pPr>
    <w:rPr>
      <w:rFonts w:ascii="Times New Roman" w:eastAsia="Times New Roman" w:hAnsi="Times New Roman" w:cs="Yagut"/>
      <w:sz w:val="28"/>
      <w:szCs w:val="28"/>
      <w:lang w:bidi="ar-SA"/>
    </w:rPr>
  </w:style>
  <w:style w:type="paragraph" w:styleId="Heading6">
    <w:name w:val="heading 6"/>
    <w:basedOn w:val="Normal"/>
    <w:next w:val="Normal"/>
    <w:link w:val="Heading6Char"/>
    <w:semiHidden/>
    <w:unhideWhenUsed/>
    <w:qFormat/>
    <w:rsid w:val="00274FE2"/>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274FE2"/>
    <w:rPr>
      <w:rFonts w:ascii="Calibri" w:eastAsia="Times New Roman" w:hAnsi="Calibri" w:cs="Arial"/>
      <w:b/>
      <w:bCs/>
      <w:lang w:bidi="ar-SA"/>
    </w:rPr>
  </w:style>
  <w:style w:type="paragraph" w:styleId="BodyText">
    <w:name w:val="Body Text"/>
    <w:basedOn w:val="Normal"/>
    <w:link w:val="BodyTextChar"/>
    <w:rsid w:val="00274FE2"/>
    <w:pPr>
      <w:spacing w:line="360" w:lineRule="auto"/>
      <w:jc w:val="lowKashida"/>
    </w:pPr>
  </w:style>
  <w:style w:type="character" w:customStyle="1" w:styleId="BodyTextChar">
    <w:name w:val="Body Text Char"/>
    <w:basedOn w:val="DefaultParagraphFont"/>
    <w:link w:val="BodyText"/>
    <w:rsid w:val="00274FE2"/>
    <w:rPr>
      <w:rFonts w:ascii="Times New Roman" w:eastAsia="Times New Roman" w:hAnsi="Times New Roman" w:cs="Yagut"/>
      <w:sz w:val="28"/>
      <w:szCs w:val="28"/>
      <w:lang w:bidi="ar-SA"/>
    </w:rPr>
  </w:style>
  <w:style w:type="paragraph" w:styleId="FootnoteText">
    <w:name w:val="footnote text"/>
    <w:basedOn w:val="Normal"/>
    <w:link w:val="FootnoteTextChar"/>
    <w:semiHidden/>
    <w:rsid w:val="00274FE2"/>
    <w:rPr>
      <w:sz w:val="20"/>
      <w:szCs w:val="24"/>
    </w:rPr>
  </w:style>
  <w:style w:type="character" w:customStyle="1" w:styleId="FootnoteTextChar">
    <w:name w:val="Footnote Text Char"/>
    <w:basedOn w:val="DefaultParagraphFont"/>
    <w:link w:val="FootnoteText"/>
    <w:semiHidden/>
    <w:rsid w:val="00274FE2"/>
    <w:rPr>
      <w:rFonts w:ascii="Times New Roman" w:eastAsia="Times New Roman" w:hAnsi="Times New Roman" w:cs="Yagut"/>
      <w:sz w:val="20"/>
      <w:szCs w:val="24"/>
      <w:lang w:bidi="ar-SA"/>
    </w:rPr>
  </w:style>
  <w:style w:type="character" w:styleId="FootnoteReference">
    <w:name w:val="footnote reference"/>
    <w:basedOn w:val="DefaultParagraphFont"/>
    <w:semiHidden/>
    <w:rsid w:val="00274F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2015-09-30T15:55:00Z</dcterms:created>
  <dcterms:modified xsi:type="dcterms:W3CDTF">2016-10-14T08:39:00Z</dcterms:modified>
</cp:coreProperties>
</file>