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1A" w:rsidRDefault="000E2F1A" w:rsidP="000E2F1A">
      <w:pPr>
        <w:pStyle w:val="Heading6"/>
        <w:spacing w:line="266" w:lineRule="auto"/>
        <w:jc w:val="center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2962083E" wp14:editId="30E2F429">
            <wp:extent cx="4286250" cy="5876925"/>
            <wp:effectExtent l="0" t="0" r="0" b="952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  <w:bookmarkStart w:id="0" w:name="OLE_LINK2"/>
    </w:p>
    <w:p w:rsidR="000E2F1A" w:rsidRDefault="000E2F1A" w:rsidP="000E2F1A">
      <w:pPr>
        <w:pStyle w:val="Heading6"/>
        <w:spacing w:line="266" w:lineRule="auto"/>
        <w:jc w:val="center"/>
        <w:rPr>
          <w:noProof/>
          <w:sz w:val="2"/>
          <w:szCs w:val="4"/>
        </w:rPr>
      </w:pPr>
    </w:p>
    <w:p w:rsidR="000E2F1A" w:rsidRDefault="000E2F1A" w:rsidP="000E2F1A">
      <w:pPr>
        <w:pStyle w:val="Heading6"/>
        <w:jc w:val="center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0DBDA73C" wp14:editId="3FC55036">
            <wp:extent cx="904875" cy="1190625"/>
            <wp:effectExtent l="0" t="0" r="9525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90839" w:rsidRDefault="00290839" w:rsidP="00290839">
      <w:pPr>
        <w:pStyle w:val="Heading6"/>
        <w:jc w:val="center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</w:rPr>
        <w:t>دانشگا</w:t>
      </w:r>
      <w:r>
        <w:rPr>
          <w:rFonts w:cs="B Zar" w:hint="cs"/>
          <w:sz w:val="24"/>
          <w:szCs w:val="24"/>
          <w:rtl/>
          <w:lang w:bidi="fa-IR"/>
        </w:rPr>
        <w:t>ه آزاد اسلامي</w:t>
      </w:r>
    </w:p>
    <w:p w:rsidR="00290839" w:rsidRDefault="00290839" w:rsidP="00290839">
      <w:pPr>
        <w:pStyle w:val="Heading6"/>
        <w:jc w:val="center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واحد تهران مرکز</w:t>
      </w:r>
    </w:p>
    <w:p w:rsidR="00290839" w:rsidRDefault="00290839" w:rsidP="00290839">
      <w:pPr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</w:p>
    <w:p w:rsidR="00290839" w:rsidRDefault="00290839" w:rsidP="00290839">
      <w:pPr>
        <w:spacing w:line="360" w:lineRule="auto"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</w:p>
    <w:p w:rsidR="00290839" w:rsidRDefault="00290839" w:rsidP="00290839">
      <w:pPr>
        <w:spacing w:line="360" w:lineRule="auto"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</w:p>
    <w:p w:rsidR="00290839" w:rsidRDefault="00290839" w:rsidP="00290839">
      <w:pPr>
        <w:spacing w:line="360" w:lineRule="auto"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  <w:r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290839" w:rsidRDefault="00290839" w:rsidP="00290839">
      <w:pPr>
        <w:spacing w:line="360" w:lineRule="auto"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>اذن و آثار حقوقي آن</w:t>
      </w:r>
    </w:p>
    <w:p w:rsidR="00290839" w:rsidRDefault="00290839" w:rsidP="00290839">
      <w:pPr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</w:p>
    <w:p w:rsidR="00290839" w:rsidRDefault="00290839" w:rsidP="00290839">
      <w:pPr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</w:p>
    <w:p w:rsidR="00290839" w:rsidRDefault="00290839" w:rsidP="00290839">
      <w:pPr>
        <w:pStyle w:val="Heading1"/>
        <w:bidi/>
        <w:spacing w:line="276" w:lineRule="auto"/>
        <w:jc w:val="center"/>
        <w:rPr>
          <w:rFonts w:ascii="Tahoma" w:hAnsi="Tahoma" w:cs="B Zar" w:hint="cs"/>
          <w:color w:val="auto"/>
          <w:sz w:val="32"/>
          <w:szCs w:val="32"/>
          <w:rtl/>
          <w:lang w:bidi="fa-IR"/>
        </w:rPr>
      </w:pPr>
      <w:r>
        <w:rPr>
          <w:rFonts w:ascii="Tahoma" w:hAnsi="Tahoma" w:cs="B Zar" w:hint="cs"/>
          <w:color w:val="auto"/>
          <w:sz w:val="32"/>
          <w:szCs w:val="32"/>
          <w:rtl/>
          <w:lang w:bidi="fa-IR"/>
        </w:rPr>
        <w:t>استاد راهنما:</w:t>
      </w:r>
    </w:p>
    <w:p w:rsidR="00290839" w:rsidRDefault="00290839" w:rsidP="00290839">
      <w:pPr>
        <w:pStyle w:val="Heading1"/>
        <w:bidi/>
        <w:spacing w:line="276" w:lineRule="auto"/>
        <w:jc w:val="center"/>
        <w:rPr>
          <w:rFonts w:ascii="Tahoma" w:hAnsi="Tahoma" w:cs="B Zar" w:hint="cs"/>
          <w:color w:val="auto"/>
          <w:sz w:val="32"/>
          <w:szCs w:val="32"/>
          <w:rtl/>
          <w:lang w:bidi="fa-IR"/>
        </w:rPr>
      </w:pPr>
    </w:p>
    <w:p w:rsidR="00290839" w:rsidRDefault="00290839" w:rsidP="00290839">
      <w:pPr>
        <w:pStyle w:val="Heading1"/>
        <w:bidi/>
        <w:spacing w:line="276" w:lineRule="auto"/>
        <w:jc w:val="center"/>
        <w:rPr>
          <w:rFonts w:ascii="Tahoma" w:hAnsi="Tahoma" w:cs="B Zar" w:hint="cs"/>
          <w:color w:val="auto"/>
          <w:sz w:val="32"/>
          <w:szCs w:val="32"/>
          <w:rtl/>
          <w:lang w:bidi="fa-IR"/>
        </w:rPr>
      </w:pPr>
      <w:r>
        <w:rPr>
          <w:rFonts w:ascii="Tahoma" w:hAnsi="Tahoma" w:cs="B Zar" w:hint="cs"/>
          <w:color w:val="auto"/>
          <w:sz w:val="32"/>
          <w:szCs w:val="32"/>
          <w:rtl/>
          <w:lang w:bidi="fa-IR"/>
        </w:rPr>
        <w:t>دانشجو:</w:t>
      </w:r>
    </w:p>
    <w:p w:rsidR="000E2F1A" w:rsidRDefault="000E2F1A" w:rsidP="000E2F1A">
      <w:pPr>
        <w:pStyle w:val="Heading1"/>
        <w:bidi/>
        <w:spacing w:line="276" w:lineRule="auto"/>
        <w:rPr>
          <w:rFonts w:ascii="Tahoma" w:hAnsi="Tahoma" w:cs="B Lotus" w:hint="cs"/>
          <w:color w:val="auto"/>
          <w:sz w:val="28"/>
          <w:szCs w:val="28"/>
          <w:rtl/>
          <w:lang w:bidi="fa-IR"/>
        </w:rPr>
      </w:pPr>
      <w:bookmarkStart w:id="1" w:name="_GoBack"/>
      <w:bookmarkEnd w:id="1"/>
    </w:p>
    <w:p w:rsidR="000E2F1A" w:rsidRDefault="000E2F1A" w:rsidP="000E2F1A">
      <w:pPr>
        <w:pStyle w:val="Heading1"/>
        <w:bidi/>
        <w:spacing w:line="276" w:lineRule="auto"/>
        <w:rPr>
          <w:rFonts w:ascii="Tahoma" w:hAnsi="Tahoma" w:cs="B Lotus"/>
          <w:color w:val="auto"/>
          <w:sz w:val="28"/>
          <w:szCs w:val="28"/>
          <w:rtl/>
        </w:rPr>
      </w:pPr>
      <w:r>
        <w:rPr>
          <w:rFonts w:ascii="Tahoma" w:hAnsi="Tahoma" w:cs="B Lotus" w:hint="cs"/>
          <w:color w:val="auto"/>
          <w:sz w:val="28"/>
          <w:szCs w:val="28"/>
          <w:rtl/>
        </w:rPr>
        <w:lastRenderedPageBreak/>
        <w:t>پيش گفتار</w:t>
      </w:r>
    </w:p>
    <w:p w:rsidR="000E2F1A" w:rsidRDefault="000E2F1A" w:rsidP="000E2F1A">
      <w:pPr>
        <w:pStyle w:val="Heading4"/>
        <w:bidi/>
        <w:spacing w:after="240" w:afterAutospacing="0" w:line="276" w:lineRule="auto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اهميت موضوع </w:t>
      </w:r>
      <w:r>
        <w:rPr>
          <w:rFonts w:cs="B Lotus" w:hint="cs"/>
          <w:sz w:val="28"/>
          <w:szCs w:val="28"/>
          <w:rtl/>
        </w:rPr>
        <w:br/>
        <w:t xml:space="preserve">پيشينه تحقيق </w:t>
      </w:r>
      <w:r>
        <w:rPr>
          <w:rFonts w:cs="B Lotus" w:hint="cs"/>
          <w:sz w:val="28"/>
          <w:szCs w:val="28"/>
          <w:rtl/>
        </w:rPr>
        <w:br/>
        <w:t xml:space="preserve">فصول مطالب </w:t>
      </w:r>
      <w:r>
        <w:rPr>
          <w:rFonts w:cs="B Lotus" w:hint="cs"/>
          <w:sz w:val="28"/>
          <w:szCs w:val="28"/>
          <w:rtl/>
        </w:rPr>
        <w:br/>
        <w:t xml:space="preserve">روش تحقيق </w:t>
      </w:r>
    </w:p>
    <w:p w:rsidR="000E2F1A" w:rsidRDefault="000E2F1A" w:rsidP="000E2F1A">
      <w:pPr>
        <w:pStyle w:val="Heading2"/>
        <w:bidi/>
        <w:spacing w:line="276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اهميت موضوع </w:t>
      </w:r>
    </w:p>
    <w:p w:rsidR="000E2F1A" w:rsidRDefault="000E2F1A" w:rsidP="000E2F1A">
      <w:pPr>
        <w:pStyle w:val="Heading4"/>
        <w:bidi/>
        <w:spacing w:after="240" w:afterAutospacing="0" w:line="276" w:lineRule="auto"/>
        <w:rPr>
          <w:rFonts w:cs="B Lotus"/>
          <w:sz w:val="28"/>
          <w:szCs w:val="28"/>
          <w:rtl/>
        </w:rPr>
      </w:pPr>
      <w:bookmarkStart w:id="2" w:name="0011"/>
      <w:bookmarkEnd w:id="2"/>
      <w:r>
        <w:rPr>
          <w:rFonts w:cs="B Lotus" w:hint="cs"/>
          <w:sz w:val="28"/>
          <w:szCs w:val="28"/>
          <w:rtl/>
        </w:rPr>
        <w:br/>
        <w:t>مسأله اذن و آثار حقوقى آن در حقوق مدنى، از اهميت ويژه‏اى برخوردار است. نظرى اجمالى به قانون مدنى و ابواب مختلف فقه اماميه، اين حقيقت را آشكار مى‏سازد كه اذن در روابط حقوقى و اجتماعى افراد نقش به سزايى دارد.</w:t>
      </w:r>
      <w:r>
        <w:rPr>
          <w:rFonts w:cs="B Lotus" w:hint="cs"/>
          <w:sz w:val="28"/>
          <w:szCs w:val="28"/>
          <w:rtl/>
        </w:rPr>
        <w:br/>
        <w:t>در حقوق اموال، ضمن مباحث گوناگونى، چون حق انتفاع و حق ارتفاق، مسأله اذن به انتفاع يا اذن به ارتفاق مطرح گرديده است. هم‏چنين، در مباحث مربوط به قراردادها و در ضمن بحث از عقود معين، نقش و تأثير اذن مورد توجه قرار گرفته است. قانون مدنى، در ضمن بحث از عقودى مانند بيع، رهن، هبه، وديعه، عاريه، وكالت، ضمان و اجاره به بيان احكام و آثار آن مى‏پردازد.</w:t>
      </w:r>
      <w:r>
        <w:rPr>
          <w:rFonts w:cs="B Lotus" w:hint="cs"/>
          <w:sz w:val="28"/>
          <w:szCs w:val="28"/>
          <w:rtl/>
        </w:rPr>
        <w:br/>
        <w:t>نقش برجسته اذن، در ميان مباحث مربوط به الزامات خارج از قرارداد نيز انكار ناپذير است؛ مباحثى از قبيل: عدم جواز تصرف در مال ديگرى بدون اذن مالك، نقش اذن در تحقق عناوين امانت مالكى و امانت قانونى، تجاوز از حدود اذن و تأثير آن در ضمان، در اين خصوص قابل بررسى مى‏باشد.</w:t>
      </w:r>
      <w:r>
        <w:rPr>
          <w:rFonts w:cs="B Lotus" w:hint="cs"/>
          <w:sz w:val="28"/>
          <w:szCs w:val="28"/>
          <w:rtl/>
        </w:rPr>
        <w:br/>
        <w:t>در حقوق خانواده نيز، نقش و اهميت اذن، به وضوح در جاى جاى مواد قانون مدنى و ابواب فقه ديده مى‏شود. اعتبار اذن ولىّ درنكاح دختر يا پسر صغير و نيز در نكاح باكره، شرط بودن اذن زن درنكاح شوهر با برادرزاده يا خواهرزاده زن و نيز موقوف‏بودن ازدواج‏زن‏ايرانى‏باتبعه‏خارج،براذن‏دولت،ازجمله‏اين‏موارداست.</w:t>
      </w:r>
      <w:r>
        <w:rPr>
          <w:rFonts w:cs="B Lotus" w:hint="cs"/>
          <w:sz w:val="28"/>
          <w:szCs w:val="28"/>
          <w:rtl/>
        </w:rPr>
        <w:br/>
        <w:t xml:space="preserve">اهميت اذن، در عرف و تنظيم روابط اجتماعى نيز بر كسى پوشيده نيست. مالك با اذن خويش، تصرف در خوراكى‏ها و استراحت در خانه خويش را براى ميهمان مباح مى‏سازد، يا به داماد و دخترش اذن مى‏دهد كه </w:t>
      </w:r>
      <w:r>
        <w:rPr>
          <w:rFonts w:cs="B Lotus" w:hint="cs"/>
          <w:sz w:val="28"/>
          <w:szCs w:val="28"/>
          <w:rtl/>
        </w:rPr>
        <w:lastRenderedPageBreak/>
        <w:t>براى مدتى در يكى از اطاق‏هاى منزل او سكونت كنند، يا به ديگرى اذن مى‏دهد كه از اتومبيل او استفاده كند يا از ميوه‏هاى باغ او بخورد.</w:t>
      </w:r>
      <w:r>
        <w:rPr>
          <w:rFonts w:cs="B Lotus" w:hint="cs"/>
          <w:sz w:val="28"/>
          <w:szCs w:val="28"/>
          <w:rtl/>
        </w:rPr>
        <w:br/>
        <w:t>موارد فوق و نمونه‏هاى فراوان ديگرى از تعارف‏ها و نزاكت‏ها كه با حيات اجتماعى و حقوقى افراد گره خورده و نقش مهمى در تنظيم روابط افراد جامعه با يك‏ديگر ايفا مى‏كند، اهميت نقش و تأثير اذن را در عرف و زندگى اجتماعى نشان مى‏دهد.</w:t>
      </w:r>
    </w:p>
    <w:p w:rsidR="000E2F1A" w:rsidRDefault="000E2F1A" w:rsidP="000E2F1A">
      <w:pPr>
        <w:pStyle w:val="Heading2"/>
        <w:bidi/>
        <w:spacing w:line="276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پيشينه تحقيق </w:t>
      </w:r>
    </w:p>
    <w:p w:rsidR="000E2F1A" w:rsidRDefault="000E2F1A" w:rsidP="000E2F1A">
      <w:pPr>
        <w:pStyle w:val="Heading4"/>
        <w:bidi/>
        <w:spacing w:after="240" w:afterAutospacing="0" w:line="276" w:lineRule="auto"/>
        <w:rPr>
          <w:rFonts w:cs="B Lotus"/>
          <w:sz w:val="28"/>
          <w:szCs w:val="28"/>
          <w:rtl/>
        </w:rPr>
      </w:pPr>
      <w:bookmarkStart w:id="3" w:name="0012"/>
      <w:bookmarkEnd w:id="3"/>
      <w:r>
        <w:rPr>
          <w:rFonts w:cs="B Lotus" w:hint="cs"/>
          <w:sz w:val="28"/>
          <w:szCs w:val="28"/>
          <w:rtl/>
        </w:rPr>
        <w:br/>
        <w:t>با وجود اهميّت و نقش مؤثر و فراگير اين نهاد حقوقى، قدر آن ناشناخته مانده است و در علم حقوق نيز چندان مطمح نظر واقع نشده و كتاب يا رساله‏اى مستقل در جهت تبيين ماهيت حقوقى، عناصر، آثار و احكام آن به رشته تحرير در نيامده است. در تأليفات گوناگون حقوقى و فقهى كه از اذن نامى برده شده، بيشتر احكام و آثار آن به صورت پراكنده مورد توجه و بررسى قرار گرفته است؛ نه مباحثى از قبيل ماهيت حقوقى، اوصاف، عناصر و تقسيمات اذن.</w:t>
      </w:r>
      <w:r>
        <w:rPr>
          <w:rFonts w:cs="B Lotus" w:hint="cs"/>
          <w:sz w:val="28"/>
          <w:szCs w:val="28"/>
          <w:rtl/>
        </w:rPr>
        <w:br/>
        <w:t>با اين همه، در نوشته‏هاى حقوقى به تبع تفسير و توضيح موادى از قانون مدنى كه به آثار و احكام و برخى از تقسيمات اذن پرداخته، مطالبى در اين زمينه ديده مى‏شود. در منابع فقهى نيز به صورت پراكنده در ابواب گوناگون به ويژه در مباحث غصب، بيع فضولى، نكاح، اجاره، عقود اذنيّه، حجر و قيموميّت، اين موضوع طرف توجه واقع شده است.</w:t>
      </w:r>
    </w:p>
    <w:p w:rsidR="000E2F1A" w:rsidRDefault="000E2F1A" w:rsidP="000E2F1A">
      <w:pPr>
        <w:pStyle w:val="Heading2"/>
        <w:bidi/>
        <w:spacing w:line="276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فصول مطالب </w:t>
      </w:r>
    </w:p>
    <w:p w:rsidR="000E2F1A" w:rsidRDefault="000E2F1A" w:rsidP="000E2F1A">
      <w:pPr>
        <w:pStyle w:val="Heading4"/>
        <w:bidi/>
        <w:spacing w:after="240" w:afterAutospacing="0" w:line="276" w:lineRule="auto"/>
        <w:rPr>
          <w:rFonts w:cs="B Lotus"/>
          <w:sz w:val="28"/>
          <w:szCs w:val="28"/>
          <w:rtl/>
        </w:rPr>
      </w:pPr>
      <w:bookmarkStart w:id="4" w:name="0013"/>
      <w:bookmarkEnd w:id="4"/>
      <w:r>
        <w:rPr>
          <w:rFonts w:cs="B Lotus" w:hint="cs"/>
          <w:sz w:val="28"/>
          <w:szCs w:val="28"/>
          <w:rtl/>
        </w:rPr>
        <w:br/>
        <w:t>اذن و آثار حقوقى آن را ضمن چهار بخش به ترتيب زير بررسى خواهيم كرد:</w:t>
      </w:r>
      <w:r>
        <w:rPr>
          <w:rFonts w:cs="B Lotus" w:hint="cs"/>
          <w:sz w:val="28"/>
          <w:szCs w:val="28"/>
          <w:rtl/>
        </w:rPr>
        <w:br/>
        <w:t>بخش اول - كليات؛</w:t>
      </w:r>
      <w:r>
        <w:rPr>
          <w:rFonts w:cs="B Lotus" w:hint="cs"/>
          <w:sz w:val="28"/>
          <w:szCs w:val="28"/>
          <w:rtl/>
        </w:rPr>
        <w:br/>
        <w:t>بخش دوم - عناصر و اركان اذن؛</w:t>
      </w:r>
      <w:r>
        <w:rPr>
          <w:rFonts w:cs="B Lotus" w:hint="cs"/>
          <w:sz w:val="28"/>
          <w:szCs w:val="28"/>
          <w:rtl/>
        </w:rPr>
        <w:br/>
        <w:t xml:space="preserve">بخش سوم - انحلال اذن؛ </w:t>
      </w:r>
      <w:r>
        <w:rPr>
          <w:rFonts w:cs="B Lotus" w:hint="cs"/>
          <w:sz w:val="28"/>
          <w:szCs w:val="28"/>
          <w:rtl/>
        </w:rPr>
        <w:br/>
      </w:r>
      <w:r>
        <w:rPr>
          <w:rFonts w:cs="B Lotus" w:hint="cs"/>
          <w:sz w:val="28"/>
          <w:szCs w:val="28"/>
          <w:rtl/>
        </w:rPr>
        <w:lastRenderedPageBreak/>
        <w:t>بخش چهارم - احكام و آثار حقوقى اذن.</w:t>
      </w:r>
      <w:r>
        <w:rPr>
          <w:rFonts w:cs="B Lotus" w:hint="cs"/>
          <w:sz w:val="28"/>
          <w:szCs w:val="28"/>
          <w:rtl/>
        </w:rPr>
        <w:br/>
        <w:t>مطالب بخش اول، طى سه مبحث جداگانه ارائه مى‏گردد. در اين بخش ، تعريف و ماهيّت حقوقى اذن، تمييز آن از مفاهيم و نهادهاى حقوقى مشابه و تقسيمات ديگر آن مورد بررسى قرار مى‏گيرد.</w:t>
      </w:r>
      <w:r>
        <w:rPr>
          <w:rFonts w:cs="B Lotus" w:hint="cs"/>
          <w:sz w:val="28"/>
          <w:szCs w:val="28"/>
          <w:rtl/>
        </w:rPr>
        <w:br/>
        <w:t>بخش دوم، به بررسى عناصر و اركان اذن اختصاص دارد. اذن دهنده، مأذون، قصد انشا و مورد اذن، موضوعاتى است كه در اين بخش مورد مطالعه قرار مى‏گيرد.</w:t>
      </w:r>
      <w:r>
        <w:rPr>
          <w:rFonts w:cs="B Lotus" w:hint="cs"/>
          <w:sz w:val="28"/>
          <w:szCs w:val="28"/>
          <w:rtl/>
        </w:rPr>
        <w:br/>
        <w:t>مسأله بطلان اذن و مواردى كه در آنها اذن مرتفع مى‏گردد، موضوع مورد بررسى در بخش سوم، خواهد بود.</w:t>
      </w:r>
      <w:r>
        <w:rPr>
          <w:rFonts w:cs="B Lotus" w:hint="cs"/>
          <w:sz w:val="28"/>
          <w:szCs w:val="28"/>
          <w:rtl/>
        </w:rPr>
        <w:br/>
        <w:t>سرانجام، بخش چهارم به بررسى و تبيين احكام و آثار حقوقى اذن مى‏پردازد. از آن‏جا كه برخى از احكام و آثار اذن به عقد يا ايقاع معينى اختصاص دارد، ولى پاره‏اى ديگر جنبه كلى داشته و نه تنها به عمل حقوقى معينى اختصاص ندارد، بلكه گاهى دايره شمول آن از محدوده اعمال حقوقى فراتر رفته، موارد ديگرى را نيز دربر مى‏گيرد، مطالب اين بخش به دو شاخه تقسيم مى‏گردد: نخست احكام و آثار كلى اذن؛ به بيان ديگر قواعد عمومى، و در مبحث دوم احكام و آثار اذن در اعمال حقوقى بررسى خواهد شد.</w:t>
      </w:r>
    </w:p>
    <w:p w:rsidR="000E2F1A" w:rsidRDefault="000E2F1A" w:rsidP="000E2F1A">
      <w:pPr>
        <w:pStyle w:val="Heading2"/>
        <w:bidi/>
        <w:spacing w:line="276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روش تحقيق </w:t>
      </w:r>
    </w:p>
    <w:p w:rsidR="000E2F1A" w:rsidRDefault="000E2F1A" w:rsidP="000E2F1A">
      <w:pPr>
        <w:pStyle w:val="Heading4"/>
        <w:bidi/>
        <w:spacing w:line="276" w:lineRule="auto"/>
        <w:rPr>
          <w:rFonts w:cs="B Lotus"/>
          <w:sz w:val="28"/>
          <w:szCs w:val="28"/>
          <w:rtl/>
        </w:rPr>
      </w:pPr>
      <w:bookmarkStart w:id="5" w:name="0014"/>
      <w:bookmarkEnd w:id="5"/>
      <w:r>
        <w:rPr>
          <w:rFonts w:cs="B Lotus" w:hint="cs"/>
          <w:sz w:val="28"/>
          <w:szCs w:val="28"/>
          <w:rtl/>
        </w:rPr>
        <w:br/>
        <w:t>با عنايت به اهميّت موضوع تحقيق و فقدان پژوهش كافى از سوى حقوق‏دانان و فقها در خصوص ابعاد مختلف نهاد حقوقى اذن و نبود كتاب يا مقاله‏اى مستقل در اين زمينه، تحقيقى ويژه در اين مورد لازم مى‏نمود. از اين رو، در كتاب حاضر در حد توان، سعى و اهتمام به عمل آمده تا با استمداد از منابع حقوقى و فقهى موجود، ابعاد مختلف مسئله مورد بررسى قرار گيرد.</w:t>
      </w:r>
      <w:r>
        <w:rPr>
          <w:rFonts w:cs="B Lotus" w:hint="cs"/>
          <w:sz w:val="28"/>
          <w:szCs w:val="28"/>
          <w:rtl/>
        </w:rPr>
        <w:br/>
        <w:t>در اين تحقيق، تلاش بر آن است كه مباحث مطرح شده جنبه تطبيقى داشته باشد؛ بدين خاطر، در موضوعات مورد بحث، حقوق مدنى ايران باديدگاه‏هاى فقيهان اماميه مقايسه گرديده به مبانى فقهى مواد قانونى مربوط اشاره مى‏شود. هم‏چنين در پاره‏اى موارد حقوق مدنى ايران با نظر به منابع فقهى اهل تسنن و حقوق مدنى ساير كشورهاى جهان به صورت تطبيقى بررسى شده است. افزون براينها رويه قضايى و نظريه‏هاى مشورتى نيز در اين نوشته مد نظر بوده، آراى دادگاه‏ها، شعب و هيئت عمومى ديوان عالى كشور مورد مطالعه و تحليل قرارگرفته‏است.</w:t>
      </w:r>
      <w:r>
        <w:rPr>
          <w:rFonts w:cs="B Lotus" w:hint="cs"/>
          <w:sz w:val="28"/>
          <w:szCs w:val="28"/>
          <w:rtl/>
        </w:rPr>
        <w:br/>
      </w:r>
      <w:r>
        <w:rPr>
          <w:rFonts w:cs="B Lotus" w:hint="cs"/>
          <w:sz w:val="28"/>
          <w:szCs w:val="28"/>
          <w:rtl/>
        </w:rPr>
        <w:lastRenderedPageBreak/>
        <w:t>با اين حال، به لحاظ آن‏كه مبناى نوشته حاضر بر اختصار است، در طرح مطالب غالباً مباحثى كه در قانون مدنى به آن اشاره شده و يا مواد قانون مدنى بر آن مبتنى مى‏باشد، مورد توجه قرار گرفته است؛ به ويژه در بخش آثار حقوقى اذن كه مى‏تواند موضوعات گسترده‏اى را شامل شود، اين ملاك براى گزينش مباحث، مورد نظر بوده است.</w:t>
      </w:r>
    </w:p>
    <w:p w:rsidR="00BF5887" w:rsidRDefault="00BF5887" w:rsidP="000E2F1A">
      <w:pPr>
        <w:rPr>
          <w:rtl/>
          <w:lang w:bidi="fa-IR"/>
        </w:rPr>
      </w:pPr>
    </w:p>
    <w:sectPr w:rsidR="00BF5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E1"/>
    <w:rsid w:val="000E2F1A"/>
    <w:rsid w:val="00290839"/>
    <w:rsid w:val="002B5FC8"/>
    <w:rsid w:val="00AC16E1"/>
    <w:rsid w:val="00B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36CD"/>
  <w15:chartTrackingRefBased/>
  <w15:docId w15:val="{6A82FA78-8CB7-472D-8E0B-FC7F30F8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2F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0E2F1A"/>
    <w:pPr>
      <w:bidi w:val="0"/>
      <w:spacing w:before="100" w:beforeAutospacing="1" w:after="100" w:afterAutospacing="1"/>
      <w:outlineLvl w:val="0"/>
    </w:pPr>
    <w:rPr>
      <w:b/>
      <w:bCs/>
      <w:color w:val="FF0000"/>
      <w:kern w:val="36"/>
    </w:rPr>
  </w:style>
  <w:style w:type="paragraph" w:styleId="Heading2">
    <w:name w:val="heading 2"/>
    <w:basedOn w:val="Normal"/>
    <w:link w:val="Heading2Char"/>
    <w:semiHidden/>
    <w:unhideWhenUsed/>
    <w:qFormat/>
    <w:rsid w:val="000E2F1A"/>
    <w:pPr>
      <w:bidi w:val="0"/>
      <w:spacing w:before="100" w:beforeAutospacing="1" w:after="100" w:afterAutospacing="1"/>
      <w:outlineLvl w:val="1"/>
    </w:pPr>
    <w:rPr>
      <w:rFonts w:ascii="Tahoma" w:hAnsi="Tahoma" w:cs="Tahoma"/>
      <w:sz w:val="18"/>
      <w:szCs w:val="18"/>
    </w:rPr>
  </w:style>
  <w:style w:type="paragraph" w:styleId="Heading4">
    <w:name w:val="heading 4"/>
    <w:basedOn w:val="Normal"/>
    <w:link w:val="Heading4Char"/>
    <w:semiHidden/>
    <w:unhideWhenUsed/>
    <w:qFormat/>
    <w:rsid w:val="000E2F1A"/>
    <w:pPr>
      <w:bidi w:val="0"/>
      <w:spacing w:before="100" w:beforeAutospacing="1" w:after="100" w:afterAutospacing="1"/>
      <w:outlineLvl w:val="3"/>
    </w:pPr>
    <w:rPr>
      <w:rFonts w:ascii="Tahoma" w:hAnsi="Tahoma" w:cs="Tahoma"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2F1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2F1A"/>
    <w:rPr>
      <w:rFonts w:ascii="Times New Roman" w:eastAsia="Times New Roman" w:hAnsi="Times New Roman" w:cs="Times New Roman"/>
      <w:b/>
      <w:bCs/>
      <w:color w:val="FF0000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E2F1A"/>
    <w:rPr>
      <w:rFonts w:ascii="Tahoma" w:eastAsia="Times New Roman" w:hAnsi="Tahoma" w:cs="Tahoma"/>
      <w:sz w:val="18"/>
      <w:szCs w:val="18"/>
    </w:rPr>
  </w:style>
  <w:style w:type="character" w:customStyle="1" w:styleId="Heading4Char">
    <w:name w:val="Heading 4 Char"/>
    <w:basedOn w:val="DefaultParagraphFont"/>
    <w:link w:val="Heading4"/>
    <w:semiHidden/>
    <w:rsid w:val="000E2F1A"/>
    <w:rPr>
      <w:rFonts w:ascii="Tahoma" w:eastAsia="Times New Roman" w:hAnsi="Tahoma" w:cs="Tahoma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0E2F1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2016-07-21T12:05:00Z</dcterms:created>
  <dcterms:modified xsi:type="dcterms:W3CDTF">2016-10-14T14:53:00Z</dcterms:modified>
</cp:coreProperties>
</file>