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A9C" w:rsidRDefault="005B4A9C" w:rsidP="005B4A9C">
      <w:pPr>
        <w:pStyle w:val="Heading6"/>
        <w:spacing w:line="266" w:lineRule="auto"/>
        <w:rPr>
          <w:sz w:val="36"/>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5B4A9C" w:rsidRDefault="005B4A9C" w:rsidP="005B4A9C">
      <w:pPr>
        <w:pStyle w:val="Heading6"/>
        <w:spacing w:line="266" w:lineRule="auto"/>
        <w:rPr>
          <w:noProof/>
          <w:sz w:val="2"/>
          <w:szCs w:val="4"/>
        </w:rPr>
      </w:pPr>
      <w:r>
        <w:rPr>
          <w:noProof/>
          <w:lang w:bidi="fa-IR"/>
        </w:rPr>
        <w:lastRenderedPageBreak/>
        <w:drawing>
          <wp:anchor distT="0" distB="0" distL="114300" distR="114300" simplePos="0" relativeHeight="251660288" behindDoc="1" locked="0" layoutInCell="1" allowOverlap="1">
            <wp:simplePos x="0" y="0"/>
            <wp:positionH relativeFrom="column">
              <wp:posOffset>2409825</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5B4A9C" w:rsidRDefault="005B4A9C" w:rsidP="005B4A9C">
      <w:pPr>
        <w:pStyle w:val="Heading6"/>
        <w:spacing w:line="240" w:lineRule="auto"/>
        <w:rPr>
          <w:rFonts w:hint="cs"/>
          <w:sz w:val="40"/>
          <w:szCs w:val="40"/>
          <w:rtl/>
          <w:lang w:bidi="fa-IR"/>
        </w:rPr>
      </w:pPr>
    </w:p>
    <w:p w:rsidR="005B4A9C" w:rsidRDefault="005B4A9C" w:rsidP="005B4A9C">
      <w:pPr>
        <w:pStyle w:val="Heading6"/>
        <w:spacing w:line="240" w:lineRule="auto"/>
        <w:rPr>
          <w:rFonts w:hint="cs"/>
          <w:sz w:val="40"/>
          <w:szCs w:val="40"/>
          <w:rtl/>
          <w:lang w:bidi="fa-IR"/>
        </w:rPr>
      </w:pPr>
    </w:p>
    <w:p w:rsidR="005B4A9C" w:rsidRDefault="005B4A9C" w:rsidP="005B4A9C">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5B4A9C" w:rsidRDefault="005B4A9C" w:rsidP="005B4A9C">
      <w:pPr>
        <w:pStyle w:val="Heading6"/>
        <w:spacing w:line="240" w:lineRule="auto"/>
        <w:rPr>
          <w:sz w:val="40"/>
          <w:szCs w:val="40"/>
          <w:lang w:bidi="fa-IR"/>
        </w:rPr>
      </w:pPr>
      <w:r>
        <w:rPr>
          <w:rFonts w:hint="cs"/>
          <w:sz w:val="40"/>
          <w:szCs w:val="40"/>
          <w:rtl/>
          <w:lang w:bidi="fa-IR"/>
        </w:rPr>
        <w:t xml:space="preserve"> واحد تهران مرکز</w:t>
      </w:r>
    </w:p>
    <w:p w:rsidR="005B4A9C" w:rsidRDefault="005B4A9C" w:rsidP="005B4A9C">
      <w:pPr>
        <w:jc w:val="center"/>
        <w:rPr>
          <w:rFonts w:cs="B Titr" w:hint="cs"/>
          <w:b/>
          <w:bCs/>
          <w:sz w:val="38"/>
          <w:szCs w:val="38"/>
          <w:rtl/>
          <w:lang w:bidi="fa-IR"/>
        </w:rPr>
      </w:pPr>
    </w:p>
    <w:p w:rsidR="005B4A9C" w:rsidRDefault="005B4A9C" w:rsidP="005B4A9C">
      <w:pPr>
        <w:jc w:val="center"/>
        <w:rPr>
          <w:rFonts w:cs="B Titr" w:hint="cs"/>
          <w:b/>
          <w:bCs/>
          <w:sz w:val="42"/>
          <w:szCs w:val="42"/>
          <w:rtl/>
          <w:lang w:bidi="fa-IR"/>
        </w:rPr>
      </w:pPr>
    </w:p>
    <w:p w:rsidR="005B4A9C" w:rsidRDefault="005B4A9C" w:rsidP="005B4A9C">
      <w:pPr>
        <w:jc w:val="center"/>
        <w:rPr>
          <w:rFonts w:cs="B Titr" w:hint="cs"/>
          <w:b/>
          <w:bCs/>
          <w:sz w:val="42"/>
          <w:szCs w:val="42"/>
          <w:rtl/>
          <w:lang w:bidi="fa-IR"/>
        </w:rPr>
      </w:pPr>
      <w:r>
        <w:rPr>
          <w:rFonts w:cs="B Titr" w:hint="cs"/>
          <w:b/>
          <w:bCs/>
          <w:sz w:val="42"/>
          <w:szCs w:val="42"/>
          <w:rtl/>
          <w:lang w:bidi="fa-IR"/>
        </w:rPr>
        <w:t>موضوع:</w:t>
      </w:r>
    </w:p>
    <w:p w:rsidR="005B4A9C" w:rsidRDefault="005B4A9C" w:rsidP="005B4A9C">
      <w:pPr>
        <w:jc w:val="center"/>
        <w:rPr>
          <w:rFonts w:cs="B Jadid" w:hint="cs"/>
          <w:b/>
          <w:bCs/>
          <w:sz w:val="30"/>
          <w:szCs w:val="30"/>
          <w:rtl/>
          <w:lang w:bidi="fa-IR"/>
        </w:rPr>
      </w:pPr>
    </w:p>
    <w:p w:rsidR="005B4A9C" w:rsidRDefault="005B4A9C" w:rsidP="005B4A9C">
      <w:pPr>
        <w:jc w:val="center"/>
        <w:rPr>
          <w:rFonts w:cs="B Jadid" w:hint="cs"/>
          <w:b/>
          <w:bCs/>
          <w:sz w:val="46"/>
          <w:szCs w:val="46"/>
          <w:rtl/>
          <w:lang w:bidi="fa-IR"/>
        </w:rPr>
      </w:pPr>
      <w:r w:rsidRPr="005561A9">
        <w:rPr>
          <w:rFonts w:cs="B Jadid"/>
          <w:b/>
          <w:bCs/>
          <w:sz w:val="46"/>
          <w:szCs w:val="46"/>
          <w:rtl/>
          <w:lang w:bidi="fa-IR"/>
        </w:rPr>
        <w:t>ارتباط بين ريسك سيستماتيك سهام عادي و نسبت هاي مالي شركت هاي پذيرفته شده در بورس اوراق بهادار تهران</w:t>
      </w:r>
    </w:p>
    <w:p w:rsidR="005B4A9C" w:rsidRDefault="005B4A9C" w:rsidP="005B4A9C">
      <w:pPr>
        <w:jc w:val="center"/>
        <w:rPr>
          <w:rFonts w:cs="B Jadid" w:hint="cs"/>
          <w:b/>
          <w:bCs/>
          <w:sz w:val="46"/>
          <w:szCs w:val="46"/>
          <w:rtl/>
          <w:lang w:bidi="fa-IR"/>
        </w:rPr>
      </w:pPr>
    </w:p>
    <w:p w:rsidR="005B4A9C" w:rsidRDefault="005B4A9C" w:rsidP="005B4A9C">
      <w:pPr>
        <w:jc w:val="center"/>
        <w:rPr>
          <w:rFonts w:cs="B Jadid" w:hint="cs"/>
          <w:b/>
          <w:bCs/>
          <w:sz w:val="46"/>
          <w:szCs w:val="46"/>
          <w:rtl/>
          <w:lang w:bidi="fa-IR"/>
        </w:rPr>
      </w:pPr>
    </w:p>
    <w:p w:rsidR="005B4A9C" w:rsidRDefault="005B4A9C" w:rsidP="005B4A9C">
      <w:pPr>
        <w:jc w:val="center"/>
        <w:rPr>
          <w:rFonts w:cs="B Jadid" w:hint="cs"/>
          <w:b/>
          <w:bCs/>
          <w:sz w:val="46"/>
          <w:szCs w:val="46"/>
          <w:rtl/>
          <w:lang w:bidi="fa-IR"/>
        </w:rPr>
      </w:pPr>
    </w:p>
    <w:p w:rsidR="005B4A9C" w:rsidRDefault="005B4A9C" w:rsidP="005B4A9C">
      <w:pPr>
        <w:jc w:val="center"/>
        <w:rPr>
          <w:rFonts w:cs="B Jadid" w:hint="cs"/>
          <w:b/>
          <w:bCs/>
          <w:sz w:val="46"/>
          <w:szCs w:val="46"/>
          <w:rtl/>
          <w:lang w:bidi="fa-IR"/>
        </w:rPr>
      </w:pPr>
    </w:p>
    <w:p w:rsidR="005B4A9C" w:rsidRDefault="005B4A9C" w:rsidP="005B4A9C">
      <w:pPr>
        <w:jc w:val="center"/>
        <w:rPr>
          <w:rFonts w:cs="B Jadid" w:hint="cs"/>
          <w:b/>
          <w:bCs/>
          <w:sz w:val="46"/>
          <w:szCs w:val="46"/>
          <w:rtl/>
          <w:lang w:bidi="fa-IR"/>
        </w:rPr>
      </w:pPr>
    </w:p>
    <w:p w:rsidR="005B4A9C" w:rsidRDefault="005B4A9C" w:rsidP="005B4A9C">
      <w:pPr>
        <w:jc w:val="center"/>
        <w:rPr>
          <w:rFonts w:cs="B Jadid" w:hint="cs"/>
          <w:b/>
          <w:bCs/>
          <w:sz w:val="46"/>
          <w:szCs w:val="46"/>
          <w:rtl/>
          <w:lang w:bidi="fa-IR"/>
        </w:rPr>
      </w:pPr>
    </w:p>
    <w:p w:rsidR="005B4A9C" w:rsidRDefault="005B4A9C" w:rsidP="005B4A9C">
      <w:pPr>
        <w:jc w:val="center"/>
        <w:rPr>
          <w:rFonts w:cs="B Jadid" w:hint="cs"/>
          <w:b/>
          <w:bCs/>
          <w:sz w:val="46"/>
          <w:szCs w:val="46"/>
          <w:rtl/>
          <w:lang w:bidi="fa-IR"/>
        </w:rPr>
      </w:pPr>
    </w:p>
    <w:p w:rsidR="005B4A9C" w:rsidRDefault="005B4A9C" w:rsidP="005B4A9C">
      <w:pPr>
        <w:jc w:val="center"/>
        <w:rPr>
          <w:rFonts w:cs="B Jadid" w:hint="cs"/>
          <w:b/>
          <w:bCs/>
          <w:sz w:val="46"/>
          <w:szCs w:val="46"/>
          <w:rtl/>
          <w:lang w:bidi="fa-IR"/>
        </w:rPr>
      </w:pPr>
    </w:p>
    <w:bookmarkEnd w:id="0"/>
    <w:p w:rsidR="005B4A9C" w:rsidRDefault="005B4A9C" w:rsidP="005B4A9C">
      <w:pPr>
        <w:spacing w:line="312" w:lineRule="auto"/>
        <w:ind w:firstLine="687"/>
        <w:jc w:val="both"/>
        <w:rPr>
          <w:rFonts w:cs="Lotus" w:hint="cs"/>
          <w:b/>
          <w:bCs/>
          <w:sz w:val="28"/>
          <w:szCs w:val="28"/>
          <w:rtl/>
        </w:rPr>
      </w:pPr>
    </w:p>
    <w:p w:rsidR="005B4A9C" w:rsidRDefault="005B4A9C" w:rsidP="005B4A9C">
      <w:pPr>
        <w:spacing w:line="312" w:lineRule="auto"/>
        <w:ind w:firstLine="687"/>
        <w:jc w:val="both"/>
        <w:rPr>
          <w:rFonts w:cs="Lotus"/>
          <w:b/>
          <w:bCs/>
          <w:sz w:val="28"/>
          <w:szCs w:val="28"/>
        </w:rPr>
      </w:pPr>
      <w:r w:rsidRPr="00B438EB">
        <w:rPr>
          <w:rFonts w:cs="Lotus" w:hint="cs"/>
          <w:b/>
          <w:bCs/>
          <w:sz w:val="28"/>
          <w:szCs w:val="28"/>
          <w:rtl/>
        </w:rPr>
        <w:lastRenderedPageBreak/>
        <w:t>چكيده:</w:t>
      </w:r>
    </w:p>
    <w:p w:rsidR="005B4A9C" w:rsidRPr="00B438EB" w:rsidRDefault="005B4A9C" w:rsidP="005B4A9C">
      <w:pPr>
        <w:spacing w:line="312" w:lineRule="auto"/>
        <w:ind w:firstLine="687"/>
        <w:jc w:val="both"/>
        <w:rPr>
          <w:rFonts w:cs="Lotus" w:hint="cs"/>
          <w:b/>
          <w:bCs/>
          <w:sz w:val="28"/>
          <w:szCs w:val="28"/>
          <w:rtl/>
        </w:rPr>
      </w:pPr>
    </w:p>
    <w:p w:rsidR="005B4A9C" w:rsidRDefault="005B4A9C" w:rsidP="005B4A9C">
      <w:pPr>
        <w:spacing w:line="312" w:lineRule="auto"/>
        <w:ind w:firstLine="687"/>
        <w:jc w:val="both"/>
        <w:rPr>
          <w:rFonts w:cs="Lotus" w:hint="cs"/>
          <w:sz w:val="28"/>
          <w:szCs w:val="28"/>
          <w:rtl/>
        </w:rPr>
      </w:pPr>
      <w:r w:rsidRPr="00D63CE1">
        <w:rPr>
          <w:rFonts w:cs="Lotus" w:hint="cs"/>
          <w:sz w:val="28"/>
          <w:szCs w:val="28"/>
          <w:rtl/>
        </w:rPr>
        <w:t xml:space="preserve">اين تحقيق به مطالعه </w:t>
      </w:r>
      <w:r w:rsidRPr="00D63CE1">
        <w:rPr>
          <w:rFonts w:cs="Lotus" w:hint="cs"/>
          <w:sz w:val="28"/>
          <w:szCs w:val="28"/>
          <w:rtl/>
          <w:lang w:bidi="fa-IR"/>
        </w:rPr>
        <w:t>ارتباط بين ريسك سيستماتيك سهام عادي و نسبت هاي مالي</w:t>
      </w:r>
      <w:r w:rsidRPr="00D63CE1">
        <w:rPr>
          <w:rFonts w:cs="Lotus" w:hint="cs"/>
          <w:sz w:val="28"/>
          <w:szCs w:val="28"/>
          <w:rtl/>
        </w:rPr>
        <w:t xml:space="preserve"> شركت هاي پذيرفته شده در بورس اوراق بهادار تهران پرداخته است. </w:t>
      </w:r>
      <w:r w:rsidRPr="00D63CE1">
        <w:rPr>
          <w:rFonts w:cs="Lotus"/>
          <w:sz w:val="28"/>
          <w:szCs w:val="28"/>
          <w:rtl/>
        </w:rPr>
        <w:t>مهمترين</w:t>
      </w:r>
      <w:r w:rsidRPr="00D63CE1">
        <w:rPr>
          <w:rFonts w:cs="Lotus" w:hint="cs"/>
          <w:sz w:val="28"/>
          <w:szCs w:val="28"/>
          <w:rtl/>
        </w:rPr>
        <w:t xml:space="preserve"> </w:t>
      </w:r>
      <w:r w:rsidRPr="00D63CE1">
        <w:rPr>
          <w:rFonts w:cs="Lotus"/>
          <w:sz w:val="28"/>
          <w:szCs w:val="28"/>
          <w:rtl/>
        </w:rPr>
        <w:t xml:space="preserve">عواملي كه در تصميم گيري براي خريد </w:t>
      </w:r>
      <w:r w:rsidRPr="00D63CE1">
        <w:rPr>
          <w:rFonts w:cs="Lotus" w:hint="cs"/>
          <w:sz w:val="28"/>
          <w:szCs w:val="28"/>
          <w:rtl/>
        </w:rPr>
        <w:t xml:space="preserve">سهام </w:t>
      </w:r>
      <w:r w:rsidRPr="00D63CE1">
        <w:rPr>
          <w:rFonts w:cs="Lotus"/>
          <w:sz w:val="28"/>
          <w:szCs w:val="28"/>
          <w:rtl/>
        </w:rPr>
        <w:t>موثر است بازده و ريسك آن در مقايسه</w:t>
      </w:r>
      <w:r w:rsidRPr="00D63CE1">
        <w:rPr>
          <w:rFonts w:cs="Lotus" w:hint="cs"/>
          <w:sz w:val="28"/>
          <w:szCs w:val="28"/>
          <w:rtl/>
        </w:rPr>
        <w:t xml:space="preserve"> </w:t>
      </w:r>
      <w:r w:rsidRPr="00D63CE1">
        <w:rPr>
          <w:rFonts w:cs="Lotus"/>
          <w:sz w:val="28"/>
          <w:szCs w:val="28"/>
          <w:rtl/>
        </w:rPr>
        <w:t>با ساير فرصت هاي سرمايه گذاري</w:t>
      </w:r>
      <w:r w:rsidRPr="00D63CE1">
        <w:rPr>
          <w:rFonts w:cs="Lotus" w:hint="cs"/>
          <w:sz w:val="28"/>
          <w:szCs w:val="28"/>
          <w:rtl/>
        </w:rPr>
        <w:t xml:space="preserve"> است. بنابراين </w:t>
      </w:r>
      <w:r w:rsidRPr="00D63CE1">
        <w:rPr>
          <w:rFonts w:cs="Lotus" w:hint="cs"/>
          <w:sz w:val="28"/>
          <w:szCs w:val="28"/>
          <w:rtl/>
          <w:lang w:bidi="fa-IR"/>
        </w:rPr>
        <w:t>در سرمايه</w:t>
      </w:r>
      <w:r w:rsidRPr="00D63CE1">
        <w:rPr>
          <w:rFonts w:cs="Lotus" w:hint="cs"/>
          <w:sz w:val="28"/>
          <w:szCs w:val="28"/>
        </w:rPr>
        <w:t xml:space="preserve"> </w:t>
      </w:r>
      <w:r w:rsidRPr="00D63CE1">
        <w:rPr>
          <w:rFonts w:cs="Lotus" w:hint="cs"/>
          <w:sz w:val="28"/>
          <w:szCs w:val="28"/>
          <w:rtl/>
          <w:lang w:bidi="fa-IR"/>
        </w:rPr>
        <w:t xml:space="preserve">گذاري ريسك و بازده نقش كليدي دارند. </w:t>
      </w:r>
      <w:r w:rsidRPr="00D63CE1">
        <w:rPr>
          <w:rFonts w:cs="Lotus" w:hint="cs"/>
          <w:sz w:val="28"/>
          <w:szCs w:val="28"/>
          <w:rtl/>
        </w:rPr>
        <w:t xml:space="preserve">هدف از اندازه گيري ريسك، افزايش توانائي در اتخاذ تصميم بهتر است. ريسك پذيري را مي توان احتمال تحمل زيان تعريف كرد. معمولا ريسك امكان وقوع يك رويداد نامطلوب است. روش هاي مختلفي براي تجزيه و تحليل ريسك و بازده يك دارائي وجود دارد. براي بررسي رابطه نسبت هاي مالي با ريسک سيستماتيك با استفاده از فرمول كوكران 90 شركت به صورت تصادفي انتخاب شده و اطلاعات و داده هاي آماري از اسناد سازماني گردآوري و تحقيق با روش همبستگي و علي مقايسه اي و با هدف كاربردي مطالعه شده است. براي تجزيه و تحليل داده ها و ازمون فرضيه از تحليل عاملي استفاده شده است كه 10 صورت مالي به 4 عامل كلي </w:t>
      </w:r>
      <w:r w:rsidRPr="00D63CE1">
        <w:rPr>
          <w:rFonts w:cs="Lotus" w:hint="cs"/>
          <w:i/>
          <w:sz w:val="28"/>
          <w:szCs w:val="28"/>
          <w:rtl/>
          <w:lang w:bidi="fa-IR"/>
        </w:rPr>
        <w:t>نسبت هاي نقدينگي، نسبت هاي اهرمي، نسبت هاي فعاليت</w:t>
      </w:r>
      <w:r w:rsidRPr="00D63CE1">
        <w:rPr>
          <w:rFonts w:cs="Lotus" w:hint="cs"/>
          <w:sz w:val="28"/>
          <w:szCs w:val="28"/>
          <w:rtl/>
        </w:rPr>
        <w:t xml:space="preserve"> و </w:t>
      </w:r>
      <w:r w:rsidRPr="00D63CE1">
        <w:rPr>
          <w:rFonts w:cs="Lotus" w:hint="cs"/>
          <w:i/>
          <w:sz w:val="28"/>
          <w:szCs w:val="28"/>
          <w:rtl/>
          <w:lang w:bidi="fa-IR"/>
        </w:rPr>
        <w:t>سياست تقسيم سود</w:t>
      </w:r>
      <w:r w:rsidRPr="00D63CE1">
        <w:rPr>
          <w:rFonts w:cs="Lotus" w:hint="cs"/>
          <w:sz w:val="28"/>
          <w:szCs w:val="28"/>
          <w:rtl/>
        </w:rPr>
        <w:t xml:space="preserve"> كاهش يافته است و تاثير اين عوامل و با تحليل رگرسيون چندگانه بر روي ريسك سيستماتيك سهام عادي بررسي شده است. نتايج به دست آمده نشان مي دهد كه عامل</w:t>
      </w:r>
      <w:r w:rsidRPr="00D63CE1">
        <w:rPr>
          <w:rFonts w:cs="Lotus" w:hint="cs"/>
          <w:sz w:val="28"/>
          <w:szCs w:val="28"/>
          <w:rtl/>
          <w:lang w:bidi="fa-IR"/>
        </w:rPr>
        <w:t xml:space="preserve"> نسبت هاي اهرمي</w:t>
      </w:r>
      <w:r w:rsidRPr="00D63CE1">
        <w:rPr>
          <w:rFonts w:cs="Lotus"/>
          <w:sz w:val="28"/>
          <w:szCs w:val="28"/>
        </w:rPr>
        <w:t xml:space="preserve">  </w:t>
      </w:r>
      <w:r w:rsidRPr="00D63CE1">
        <w:rPr>
          <w:rFonts w:cs="Lotus" w:hint="cs"/>
          <w:sz w:val="28"/>
          <w:szCs w:val="28"/>
          <w:rtl/>
          <w:lang w:bidi="fa-IR"/>
        </w:rPr>
        <w:t>عامل</w:t>
      </w:r>
      <w:r w:rsidRPr="00D63CE1">
        <w:rPr>
          <w:rFonts w:cs="Lotus"/>
          <w:sz w:val="28"/>
          <w:szCs w:val="28"/>
          <w:rtl/>
          <w:lang w:bidi="fa-IR"/>
        </w:rPr>
        <w:t xml:space="preserve"> سياست تقسيم سود</w:t>
      </w:r>
      <w:r w:rsidRPr="00D63CE1">
        <w:rPr>
          <w:rFonts w:cs="Lotus"/>
          <w:sz w:val="28"/>
          <w:szCs w:val="28"/>
        </w:rPr>
        <w:t xml:space="preserve"> </w:t>
      </w:r>
      <w:r w:rsidRPr="00D63CE1">
        <w:rPr>
          <w:rFonts w:cs="Lotus"/>
          <w:sz w:val="28"/>
          <w:szCs w:val="28"/>
          <w:rtl/>
        </w:rPr>
        <w:t>به صورت</w:t>
      </w:r>
      <w:r w:rsidRPr="00D63CE1">
        <w:rPr>
          <w:rFonts w:cs="Lotus"/>
          <w:sz w:val="28"/>
          <w:szCs w:val="28"/>
        </w:rPr>
        <w:t xml:space="preserve"> </w:t>
      </w:r>
      <w:r w:rsidRPr="00D63CE1">
        <w:rPr>
          <w:rFonts w:cs="Lotus"/>
          <w:sz w:val="28"/>
          <w:szCs w:val="28"/>
          <w:rtl/>
        </w:rPr>
        <w:t xml:space="preserve">معني دار </w:t>
      </w:r>
      <w:r w:rsidRPr="00D63CE1">
        <w:rPr>
          <w:rFonts w:cs="Lotus" w:hint="cs"/>
          <w:sz w:val="28"/>
          <w:szCs w:val="28"/>
          <w:rtl/>
        </w:rPr>
        <w:t xml:space="preserve">ريسك سيستماتيك سهام عادي را </w:t>
      </w:r>
      <w:r w:rsidRPr="00D63CE1">
        <w:rPr>
          <w:rFonts w:cs="Lotus"/>
          <w:sz w:val="28"/>
          <w:szCs w:val="28"/>
          <w:rtl/>
        </w:rPr>
        <w:t xml:space="preserve">تبيين </w:t>
      </w:r>
      <w:r w:rsidRPr="00D63CE1">
        <w:rPr>
          <w:rFonts w:cs="Lotus" w:hint="cs"/>
          <w:sz w:val="28"/>
          <w:szCs w:val="28"/>
          <w:rtl/>
        </w:rPr>
        <w:t xml:space="preserve">مي كنند. اما </w:t>
      </w:r>
      <w:r w:rsidRPr="00D63CE1">
        <w:rPr>
          <w:rFonts w:cs="Lotus" w:hint="cs"/>
          <w:i/>
          <w:sz w:val="28"/>
          <w:szCs w:val="28"/>
          <w:rtl/>
          <w:lang w:bidi="fa-IR"/>
        </w:rPr>
        <w:t>عامل نسبت هاي نقدينگي</w:t>
      </w:r>
      <w:r w:rsidRPr="00D63CE1">
        <w:rPr>
          <w:rFonts w:cs="Lotus" w:hint="cs"/>
          <w:sz w:val="28"/>
          <w:szCs w:val="28"/>
          <w:rtl/>
          <w:lang w:bidi="fa-IR"/>
        </w:rPr>
        <w:t xml:space="preserve"> و عامل </w:t>
      </w:r>
      <w:r w:rsidRPr="00D63CE1">
        <w:rPr>
          <w:rFonts w:cs="Lotus" w:hint="cs"/>
          <w:i/>
          <w:sz w:val="28"/>
          <w:szCs w:val="28"/>
          <w:rtl/>
          <w:lang w:bidi="fa-IR"/>
        </w:rPr>
        <w:t xml:space="preserve">نسبت هاي فعاليت تاثير معني داري بر </w:t>
      </w:r>
      <w:r w:rsidRPr="00D63CE1">
        <w:rPr>
          <w:rFonts w:cs="Lotus" w:hint="cs"/>
          <w:sz w:val="28"/>
          <w:szCs w:val="28"/>
          <w:rtl/>
        </w:rPr>
        <w:t>ريسك سيستماتيك سهام عادي</w:t>
      </w:r>
      <w:r w:rsidRPr="00D63CE1">
        <w:rPr>
          <w:rFonts w:cs="Lotus" w:hint="cs"/>
          <w:i/>
          <w:sz w:val="28"/>
          <w:szCs w:val="28"/>
          <w:rtl/>
        </w:rPr>
        <w:t xml:space="preserve"> ندارند.</w:t>
      </w:r>
      <w:r w:rsidRPr="00D63CE1">
        <w:rPr>
          <w:rFonts w:cs="Lotus" w:hint="cs"/>
          <w:i/>
          <w:sz w:val="28"/>
          <w:szCs w:val="28"/>
          <w:rtl/>
          <w:lang w:bidi="fa-IR"/>
        </w:rPr>
        <w:t xml:space="preserve"> </w:t>
      </w:r>
      <w:r w:rsidRPr="00D63CE1">
        <w:rPr>
          <w:rFonts w:cs="Lotus" w:hint="cs"/>
          <w:sz w:val="28"/>
          <w:szCs w:val="28"/>
          <w:rtl/>
          <w:lang w:bidi="fa-IR"/>
        </w:rPr>
        <w:t xml:space="preserve"> براساس نتايج كلي </w:t>
      </w:r>
      <w:r w:rsidRPr="00D63CE1">
        <w:rPr>
          <w:rFonts w:cs="Lotus" w:hint="cs"/>
          <w:sz w:val="28"/>
          <w:szCs w:val="28"/>
          <w:rtl/>
        </w:rPr>
        <w:t>فرضيه تحقيق "</w:t>
      </w:r>
      <w:r w:rsidRPr="00D63CE1">
        <w:rPr>
          <w:rFonts w:cs="Lotus" w:hint="cs"/>
          <w:sz w:val="28"/>
          <w:szCs w:val="28"/>
          <w:rtl/>
          <w:lang w:bidi="fa-IR"/>
        </w:rPr>
        <w:t>بين ريسک سيستماتيک سهام عادي و نسبت هاي مالي رابطه معناداري وجود دارد.</w:t>
      </w:r>
      <w:r w:rsidRPr="00D63CE1">
        <w:rPr>
          <w:rFonts w:cs="Lotus" w:hint="cs"/>
          <w:sz w:val="28"/>
          <w:szCs w:val="28"/>
          <w:rtl/>
        </w:rPr>
        <w:t>" تائيد شده است.</w:t>
      </w:r>
    </w:p>
    <w:p w:rsidR="004A36D5" w:rsidRDefault="004A36D5">
      <w:pPr>
        <w:rPr>
          <w:rFonts w:hint="cs"/>
        </w:rPr>
      </w:pPr>
    </w:p>
    <w:sectPr w:rsidR="004A36D5"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4A9C"/>
    <w:rsid w:val="004A36D5"/>
    <w:rsid w:val="005B4A9C"/>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A9C"/>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5B4A9C"/>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5B4A9C"/>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5B4A9C"/>
    <w:rPr>
      <w:rFonts w:ascii="Tahoma" w:hAnsi="Tahoma" w:cs="Tahoma"/>
      <w:sz w:val="16"/>
      <w:szCs w:val="16"/>
    </w:rPr>
  </w:style>
  <w:style w:type="character" w:customStyle="1" w:styleId="BalloonTextChar">
    <w:name w:val="Balloon Text Char"/>
    <w:basedOn w:val="DefaultParagraphFont"/>
    <w:link w:val="BalloonText"/>
    <w:uiPriority w:val="99"/>
    <w:semiHidden/>
    <w:rsid w:val="005B4A9C"/>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2015-10-01T09:01:00Z</dcterms:created>
  <dcterms:modified xsi:type="dcterms:W3CDTF">2015-10-01T09:02:00Z</dcterms:modified>
</cp:coreProperties>
</file>