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8A" w:rsidRDefault="0035348A" w:rsidP="0035348A">
      <w:pPr>
        <w:spacing w:line="480" w:lineRule="auto"/>
        <w:ind w:firstLine="5"/>
        <w:jc w:val="center"/>
        <w:rPr>
          <w:rFonts w:cs="Zar"/>
          <w:b/>
          <w:bCs/>
          <w:sz w:val="46"/>
          <w:szCs w:val="46"/>
          <w:lang w:bidi="fa-IR"/>
        </w:rPr>
      </w:pPr>
      <w:r>
        <w:rPr>
          <w:rFonts w:cs="Zar"/>
          <w:b/>
          <w:bCs/>
          <w:noProof/>
          <w:sz w:val="46"/>
          <w:szCs w:val="46"/>
          <w:lang w:bidi="fa-IR"/>
        </w:rPr>
        <w:drawing>
          <wp:inline distT="0" distB="0" distL="0" distR="0">
            <wp:extent cx="762000" cy="790575"/>
            <wp:effectExtent l="0" t="0" r="0" b="0"/>
            <wp:docPr id="2" name="Picture 2" descr="Copy of ALLAH_BLACK___IR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LLAH_BLACK___IRI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8A" w:rsidRDefault="0035348A" w:rsidP="0035348A">
      <w:pPr>
        <w:spacing w:line="360" w:lineRule="auto"/>
        <w:ind w:firstLine="5"/>
        <w:jc w:val="center"/>
        <w:rPr>
          <w:rFonts w:cs="Zar" w:hint="cs"/>
          <w:b/>
          <w:bCs/>
          <w:sz w:val="40"/>
          <w:szCs w:val="40"/>
          <w:rtl/>
          <w:lang w:bidi="fa-IR"/>
        </w:rPr>
      </w:pPr>
    </w:p>
    <w:p w:rsidR="0035348A" w:rsidRDefault="0035348A" w:rsidP="0035348A">
      <w:pPr>
        <w:spacing w:line="360" w:lineRule="auto"/>
        <w:ind w:firstLine="5"/>
        <w:jc w:val="center"/>
        <w:rPr>
          <w:rFonts w:cs="Zar" w:hint="cs"/>
          <w:b/>
          <w:bCs/>
          <w:sz w:val="40"/>
          <w:szCs w:val="40"/>
          <w:rtl/>
          <w:lang w:bidi="fa-IR"/>
        </w:rPr>
      </w:pPr>
    </w:p>
    <w:p w:rsidR="0035348A" w:rsidRDefault="0035348A" w:rsidP="0035348A">
      <w:pPr>
        <w:spacing w:line="360" w:lineRule="auto"/>
        <w:ind w:firstLine="5"/>
        <w:jc w:val="center"/>
        <w:rPr>
          <w:rFonts w:cs="Zar" w:hint="cs"/>
          <w:b/>
          <w:bCs/>
          <w:sz w:val="36"/>
          <w:szCs w:val="36"/>
          <w:rtl/>
          <w:lang w:bidi="fa-IR"/>
        </w:rPr>
      </w:pPr>
      <w:r>
        <w:rPr>
          <w:rFonts w:cs="Zar" w:hint="cs"/>
          <w:b/>
          <w:bCs/>
          <w:sz w:val="36"/>
          <w:szCs w:val="36"/>
          <w:rtl/>
          <w:lang w:bidi="fa-IR"/>
        </w:rPr>
        <w:t>عنوان:</w:t>
      </w:r>
    </w:p>
    <w:p w:rsidR="0035348A" w:rsidRDefault="0035348A" w:rsidP="0035348A">
      <w:pPr>
        <w:spacing w:line="360" w:lineRule="auto"/>
        <w:ind w:firstLine="5"/>
        <w:jc w:val="center"/>
        <w:rPr>
          <w:rFonts w:cs="Zar" w:hint="cs"/>
          <w:b/>
          <w:bCs/>
          <w:sz w:val="36"/>
          <w:szCs w:val="36"/>
          <w:rtl/>
          <w:lang w:bidi="fa-IR"/>
        </w:rPr>
      </w:pPr>
      <w:r>
        <w:rPr>
          <w:rFonts w:cs="Zar" w:hint="cs"/>
          <w:b/>
          <w:bCs/>
          <w:sz w:val="36"/>
          <w:szCs w:val="36"/>
          <w:rtl/>
          <w:lang w:bidi="fa-IR"/>
        </w:rPr>
        <w:t>بودجه در دستگاه هاي اجرائي</w:t>
      </w:r>
    </w:p>
    <w:p w:rsidR="0035348A" w:rsidRDefault="0035348A" w:rsidP="0035348A">
      <w:pPr>
        <w:spacing w:line="360" w:lineRule="auto"/>
        <w:ind w:firstLine="5"/>
        <w:jc w:val="center"/>
        <w:rPr>
          <w:rFonts w:cs="Zar" w:hint="cs"/>
          <w:b/>
          <w:bCs/>
          <w:sz w:val="36"/>
          <w:szCs w:val="36"/>
          <w:rtl/>
          <w:lang w:bidi="fa-IR"/>
        </w:rPr>
      </w:pPr>
      <w:bookmarkStart w:id="0" w:name="_GoBack"/>
      <w:r>
        <w:rPr>
          <w:rFonts w:cs="Zar" w:hint="cs"/>
          <w:b/>
          <w:bCs/>
          <w:sz w:val="36"/>
          <w:szCs w:val="36"/>
          <w:rtl/>
          <w:lang w:bidi="fa-IR"/>
        </w:rPr>
        <w:t>اداره كل پزشكي قانوني استان خراسان شمالي</w:t>
      </w:r>
      <w:bookmarkEnd w:id="0"/>
    </w:p>
    <w:p w:rsidR="0035348A" w:rsidRDefault="0035348A" w:rsidP="0035348A">
      <w:pPr>
        <w:spacing w:line="600" w:lineRule="auto"/>
        <w:rPr>
          <w:rFonts w:cs="Homa" w:hint="cs"/>
          <w:sz w:val="36"/>
          <w:szCs w:val="36"/>
          <w:rtl/>
          <w:lang w:bidi="fa-IR"/>
        </w:rPr>
      </w:pPr>
    </w:p>
    <w:p w:rsidR="0035348A" w:rsidRDefault="0035348A" w:rsidP="0035348A">
      <w:pPr>
        <w:spacing w:line="600" w:lineRule="auto"/>
        <w:ind w:firstLine="425"/>
        <w:jc w:val="center"/>
        <w:rPr>
          <w:rFonts w:cs="Homa" w:hint="cs"/>
          <w:sz w:val="36"/>
          <w:szCs w:val="36"/>
          <w:rtl/>
          <w:lang w:bidi="fa-IR"/>
        </w:rPr>
      </w:pPr>
      <w:r>
        <w:rPr>
          <w:rFonts w:cs="Homa" w:hint="cs"/>
          <w:sz w:val="36"/>
          <w:szCs w:val="36"/>
          <w:rtl/>
          <w:lang w:bidi="fa-IR"/>
        </w:rPr>
        <w:t>استاد</w:t>
      </w:r>
    </w:p>
    <w:p w:rsidR="0035348A" w:rsidRDefault="0035348A" w:rsidP="0035348A">
      <w:pPr>
        <w:spacing w:line="600" w:lineRule="auto"/>
        <w:ind w:firstLine="425"/>
        <w:jc w:val="center"/>
        <w:rPr>
          <w:rFonts w:cs="Homa" w:hint="cs"/>
          <w:sz w:val="36"/>
          <w:szCs w:val="36"/>
          <w:rtl/>
          <w:lang w:bidi="fa-IR"/>
        </w:rPr>
      </w:pPr>
      <w:r>
        <w:rPr>
          <w:rFonts w:cs="Homa" w:hint="cs"/>
          <w:sz w:val="36"/>
          <w:szCs w:val="36"/>
          <w:rtl/>
          <w:lang w:bidi="fa-IR"/>
        </w:rPr>
        <w:t>تهيه و تدوين:</w:t>
      </w:r>
    </w:p>
    <w:p w:rsidR="007F09B8" w:rsidRDefault="007F09B8" w:rsidP="007F09B8">
      <w:pPr>
        <w:bidi w:val="0"/>
        <w:spacing w:line="300" w:lineRule="auto"/>
        <w:rPr>
          <w:rFonts w:cs="Lotus"/>
          <w:sz w:val="28"/>
          <w:szCs w:val="28"/>
          <w:rtl/>
          <w:lang w:bidi="fa-IR"/>
        </w:rPr>
        <w:sectPr w:rsidR="007F09B8">
          <w:footnotePr>
            <w:numRestart w:val="eachPage"/>
          </w:footnotePr>
          <w:pgSz w:w="11906" w:h="16838"/>
          <w:pgMar w:top="1440" w:right="1797" w:bottom="1440" w:left="1797" w:header="709" w:footer="709" w:gutter="0"/>
          <w:cols w:space="720"/>
          <w:bidi/>
          <w:rtlGutter/>
        </w:sectPr>
      </w:pPr>
    </w:p>
    <w:p w:rsidR="007F09B8" w:rsidRDefault="007F09B8" w:rsidP="007F09B8">
      <w:pPr>
        <w:jc w:val="center"/>
        <w:rPr>
          <w:rFonts w:cs="Lotus"/>
          <w:b/>
          <w:bCs/>
          <w:rtl/>
          <w:lang w:bidi="fa-IR"/>
        </w:rPr>
      </w:pPr>
      <w:r>
        <w:rPr>
          <w:rFonts w:cs="Lotus" w:hint="cs"/>
          <w:b/>
          <w:bCs/>
          <w:rtl/>
          <w:lang w:bidi="fa-IR"/>
        </w:rPr>
        <w:lastRenderedPageBreak/>
        <w:t>فهرست منابع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7580"/>
        <w:gridCol w:w="948"/>
      </w:tblGrid>
      <w:tr w:rsidR="007F09B8" w:rsidTr="007F09B8"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9B8" w:rsidRDefault="007F09B8">
            <w:pPr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9B8" w:rsidRDefault="007F09B8">
            <w:pPr>
              <w:jc w:val="center"/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rtl/>
                <w:lang w:bidi="fa-IR"/>
              </w:rPr>
              <w:t>صفحه</w:t>
            </w:r>
          </w:p>
        </w:tc>
      </w:tr>
      <w:tr w:rsidR="007F09B8" w:rsidTr="007F09B8">
        <w:tc>
          <w:tcPr>
            <w:tcW w:w="7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9B8" w:rsidRDefault="007F09B8">
            <w:pPr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فصل اول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</w:p>
        </w:tc>
      </w:tr>
      <w:tr w:rsidR="007F09B8" w:rsidTr="007F09B8">
        <w:trPr>
          <w:trHeight w:val="360"/>
        </w:trPr>
        <w:tc>
          <w:tcPr>
            <w:tcW w:w="7580" w:type="dxa"/>
            <w:hideMark/>
          </w:tcPr>
          <w:p w:rsidR="007F09B8" w:rsidRDefault="007F09B8">
            <w:pPr>
              <w:ind w:firstLine="284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پيش گفتار</w:t>
            </w:r>
          </w:p>
        </w:tc>
        <w:tc>
          <w:tcPr>
            <w:tcW w:w="948" w:type="dxa"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</w:p>
        </w:tc>
      </w:tr>
      <w:tr w:rsidR="007F09B8" w:rsidTr="007F09B8">
        <w:trPr>
          <w:trHeight w:val="36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مقدمه (تاريخچه)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2</w:t>
            </w:r>
          </w:p>
        </w:tc>
      </w:tr>
      <w:tr w:rsidR="007F09B8" w:rsidTr="007F09B8">
        <w:trPr>
          <w:trHeight w:val="45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تعريف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3</w:t>
            </w:r>
          </w:p>
        </w:tc>
      </w:tr>
      <w:tr w:rsidR="007F09B8" w:rsidTr="007F09B8">
        <w:trPr>
          <w:trHeight w:val="39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ارتباط واحد بودجه با ديگر واحدهاي دستگاه اجرايي(وظايف)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14-3</w:t>
            </w:r>
          </w:p>
        </w:tc>
      </w:tr>
      <w:tr w:rsidR="007F09B8" w:rsidTr="007F09B8">
        <w:trPr>
          <w:trHeight w:val="36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نمونه بخش نامه بودجه</w:t>
            </w:r>
            <w:r>
              <w:rPr>
                <w:rFonts w:cs="Lotus" w:hint="cs"/>
                <w:rtl/>
                <w:lang w:bidi="fa-IR"/>
              </w:rPr>
              <w:tab/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20-15</w:t>
            </w:r>
          </w:p>
        </w:tc>
      </w:tr>
      <w:tr w:rsidR="007F09B8" w:rsidTr="007F09B8">
        <w:trPr>
          <w:trHeight w:val="45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اثرات ارقام افزايشي و اعلام شده در بخش نامه بودجه برهر يك از اقلام حقوق و مزايا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38-21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rPr>
                <w:rFonts w:cs="Lotus"/>
                <w:rtl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فصل دوم: </w:t>
            </w:r>
          </w:p>
          <w:p w:rsidR="007F09B8" w:rsidRDefault="007F09B8">
            <w:pPr>
              <w:ind w:firstLine="284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طبقه بندي هزينه ها</w:t>
            </w:r>
          </w:p>
        </w:tc>
        <w:tc>
          <w:tcPr>
            <w:tcW w:w="948" w:type="dxa"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</w:p>
        </w:tc>
      </w:tr>
      <w:tr w:rsidR="007F09B8" w:rsidTr="007F09B8">
        <w:trPr>
          <w:trHeight w:val="36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هزينه هاي پرسنلي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45-40</w:t>
            </w:r>
          </w:p>
        </w:tc>
      </w:tr>
      <w:tr w:rsidR="007F09B8" w:rsidTr="007F09B8">
        <w:trPr>
          <w:trHeight w:val="330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هزينه هاي اداري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57-45</w:t>
            </w:r>
          </w:p>
        </w:tc>
      </w:tr>
      <w:tr w:rsidR="007F09B8" w:rsidTr="007F09B8">
        <w:trPr>
          <w:trHeight w:val="465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هزينه هاي سرمايه اي</w:t>
            </w:r>
            <w:r>
              <w:rPr>
                <w:rFonts w:cs="Lotus" w:hint="cs"/>
                <w:rtl/>
                <w:lang w:bidi="fa-IR"/>
              </w:rPr>
              <w:tab/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63-58</w:t>
            </w:r>
          </w:p>
        </w:tc>
      </w:tr>
      <w:tr w:rsidR="007F09B8" w:rsidTr="007F09B8">
        <w:trPr>
          <w:trHeight w:val="345"/>
        </w:trPr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تفكيك و طبقه بندي هزينه هاي دستگاه اجرايي جهت بودجه بندي (بودجه عملياتي)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67-64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rPr>
                <w:rFonts w:cs="Lotus"/>
                <w:rtl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فصل سوم : </w:t>
            </w:r>
          </w:p>
          <w:p w:rsidR="007F09B8" w:rsidRDefault="007F09B8">
            <w:pPr>
              <w:ind w:firstLine="284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تهيه و تنظيم بودجه </w:t>
            </w:r>
          </w:p>
        </w:tc>
        <w:tc>
          <w:tcPr>
            <w:tcW w:w="948" w:type="dxa"/>
          </w:tcPr>
          <w:p w:rsidR="007F09B8" w:rsidRDefault="007F09B8">
            <w:pPr>
              <w:jc w:val="center"/>
              <w:rPr>
                <w:rFonts w:cs="Lotus"/>
                <w:rtl/>
                <w:lang w:bidi="fa-IR"/>
              </w:rPr>
            </w:pPr>
          </w:p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80-71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تصويب بودجه 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83-81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اجراء بودجه 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90-83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دستورالعمل فرآيند تخصيص اعتبارات مصوب دستگاه اجرايي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87-86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tabs>
                <w:tab w:val="left" w:pos="1973"/>
              </w:tabs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كنترل بودجه </w:t>
            </w:r>
            <w:r>
              <w:rPr>
                <w:rFonts w:cs="Lotus" w:hint="cs"/>
                <w:rtl/>
                <w:lang w:bidi="fa-IR"/>
              </w:rPr>
              <w:tab/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93-90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روش هاي بودجه ريزي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104-97</w:t>
            </w:r>
          </w:p>
        </w:tc>
      </w:tr>
      <w:tr w:rsidR="007F09B8" w:rsidTr="007F09B8">
        <w:tc>
          <w:tcPr>
            <w:tcW w:w="7580" w:type="dxa"/>
            <w:hideMark/>
          </w:tcPr>
          <w:p w:rsidR="007F09B8" w:rsidRDefault="007F09B8">
            <w:pPr>
              <w:ind w:firstLine="572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 xml:space="preserve">نمونه محاسباتي بودجه 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106-105</w:t>
            </w:r>
          </w:p>
        </w:tc>
      </w:tr>
      <w:tr w:rsidR="007F09B8" w:rsidTr="007F09B8">
        <w:trPr>
          <w:trHeight w:val="375"/>
        </w:trPr>
        <w:tc>
          <w:tcPr>
            <w:tcW w:w="7580" w:type="dxa"/>
            <w:hideMark/>
          </w:tcPr>
          <w:p w:rsidR="007F09B8" w:rsidRDefault="007F09B8">
            <w:pPr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نتيجه گيري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107</w:t>
            </w:r>
          </w:p>
        </w:tc>
      </w:tr>
      <w:tr w:rsidR="007F09B8" w:rsidTr="007F09B8">
        <w:trPr>
          <w:trHeight w:val="420"/>
        </w:trPr>
        <w:tc>
          <w:tcPr>
            <w:tcW w:w="7580" w:type="dxa"/>
            <w:hideMark/>
          </w:tcPr>
          <w:p w:rsidR="007F09B8" w:rsidRDefault="007F09B8">
            <w:pPr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منابع</w:t>
            </w:r>
          </w:p>
        </w:tc>
        <w:tc>
          <w:tcPr>
            <w:tcW w:w="948" w:type="dxa"/>
            <w:hideMark/>
          </w:tcPr>
          <w:p w:rsidR="007F09B8" w:rsidRDefault="007F09B8">
            <w:pPr>
              <w:jc w:val="center"/>
              <w:rPr>
                <w:rFonts w:cs="Lotus"/>
                <w:lang w:bidi="fa-IR"/>
              </w:rPr>
            </w:pPr>
            <w:r>
              <w:rPr>
                <w:rFonts w:cs="Lotus" w:hint="cs"/>
                <w:rtl/>
                <w:lang w:bidi="fa-IR"/>
              </w:rPr>
              <w:t>108</w:t>
            </w:r>
          </w:p>
        </w:tc>
      </w:tr>
    </w:tbl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b/>
          <w:bCs/>
          <w:sz w:val="28"/>
          <w:szCs w:val="28"/>
          <w:rtl/>
          <w:lang w:bidi="fa-IR"/>
        </w:rPr>
      </w:pPr>
      <w:r>
        <w:rPr>
          <w:rFonts w:cs="Lotus" w:hint="cs"/>
          <w:b/>
          <w:bCs/>
          <w:sz w:val="28"/>
          <w:szCs w:val="28"/>
          <w:rtl/>
          <w:lang w:bidi="fa-IR"/>
        </w:rPr>
        <w:t>پيش گفتار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lastRenderedPageBreak/>
        <w:t>با توجه به اينكه استان خراسان شمالي استان تازه تاسيس بوده و دستگاه‌هاي اجرايي (ادارات كل) هنوز آن سازماندهي يا چارت تشكيلاتي اداري مناسبي نداشته و همچنين عدم داشتن نيروهاي با تجربه كه و متخصص انجام وظيفه مي نمائيد و مورد مهمتر اينكه نبود يك كارشناسان بودجه در خصوص تنظيم برنامه مالي؛ بودجه مال دستگاه اجرايي(ادارات كل) ما را برآن داشت تا اين معضل  بزرگ را بر طرف نموده و براي‌هرچه بهتر و تسهيل در كار بودجه ريزي دستگاه دولتي مجموعه‌اي را تحت اين عنوان تهيه نمائيم و جاي آن دارد كه از مدير كل پزشكي قانوني استان  آقاي دكتر جواد سالاري كه ما را در تهيه اين مجموع تشويق نموده اند قدر داني مي نمائيم.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b/>
          <w:bCs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مجموع حاضر نتيجه4 ماه تلاش و1 سال تجربه تهيه كننده و نظر كارشناسان سازمان مديريت و برنامه‌ريزي در امور بودجه است كه ابعاد كاربردي آن در قالب معيارهاي علمي آميخته شده است و محتوي اين مجموعه در جهت تفكر سيستمي  به صورت طبقه بندي ارائه شده و جنبه اجرائي و كاربردي دارد و براي كارشناسان بودجه دستگاه اجراي (ادارات كل) مفيد و با جملاتي ساده و روان تشريح شده است واز تكنولوژي خاص در فرهنگ بودجه نويسي دستگاه دولتي(ادارات كل) برخوردار واز ديدگاه مسائل حقوقي و قانون بودجه به آن نگريسته شده است.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b/>
          <w:bCs/>
          <w:sz w:val="28"/>
          <w:szCs w:val="28"/>
          <w:rtl/>
          <w:lang w:bidi="fa-IR"/>
        </w:rPr>
        <w:t>فصل اول: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- در اين مجموعه از نظام مالي‌كشور در بحث‌مقدمه‌به تاريخچه بودجه ايران پرداخته‌شده‌است. پس از تعاريف بودجه فقط يك مورد كه جامع و مانع باشد اشاره شده است.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- در بحث ارتباطات بين واحد بودجه با ساير واحدهاي اداري در جهت كسب اطلاعات در تدوين بودجه دستگاه اجرايي (اداره كل) به صورت روشن وگويا موارد مورد نظر تشريح شده و همچنين نمونه‌اي از بخشنامه بودجه تصويب‌نامه هئيت محترم دولت كه اساس و پايه بودجه‌ريزي مي باشد آورده شده و افزايش كه در آن اعلام شده تاثيرش بر اقلام حقوق و مزايا ذكر شده‌است.</w:t>
      </w:r>
    </w:p>
    <w:p w:rsidR="007F09B8" w:rsidRDefault="007F09B8" w:rsidP="007F09B8">
      <w:pPr>
        <w:bidi w:val="0"/>
        <w:spacing w:line="300" w:lineRule="auto"/>
        <w:rPr>
          <w:rFonts w:cs="Lotus"/>
          <w:b/>
          <w:bCs/>
          <w:sz w:val="28"/>
          <w:szCs w:val="28"/>
          <w:rtl/>
          <w:lang w:bidi="fa-IR"/>
        </w:rPr>
        <w:sectPr w:rsidR="007F09B8">
          <w:footnotePr>
            <w:numRestart w:val="eachPage"/>
          </w:footnotePr>
          <w:pgSz w:w="11906" w:h="16838"/>
          <w:pgMar w:top="1440" w:right="1797" w:bottom="1440" w:left="1797" w:header="709" w:footer="709" w:gutter="0"/>
          <w:cols w:space="720"/>
          <w:bidi/>
          <w:rtlGutter/>
        </w:sectPr>
      </w:pP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b/>
          <w:bCs/>
          <w:sz w:val="28"/>
          <w:szCs w:val="28"/>
          <w:rtl/>
          <w:lang w:bidi="fa-IR"/>
        </w:rPr>
        <w:lastRenderedPageBreak/>
        <w:t xml:space="preserve">فصل دوم: 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- موضوع طبقه بندي هزينه‌ها، هزينه‌هاي پرسنلي، اداري، سرمايه اي، بصورت كامل به آن اشاره شده و در مواردي هر هزينه را بصورت مختصري تشريح و ذكر و تعيين شده و بعد از طبقه‌بندي هزينه هاي دستگاه اجرايي بصورت مجزا طبقه بندي وآورده شد.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b/>
          <w:bCs/>
          <w:sz w:val="28"/>
          <w:szCs w:val="28"/>
          <w:rtl/>
          <w:lang w:bidi="fa-IR"/>
        </w:rPr>
        <w:t>فصل سوم</w:t>
      </w:r>
      <w:r>
        <w:rPr>
          <w:rFonts w:cs="Lotus" w:hint="cs"/>
          <w:sz w:val="28"/>
          <w:szCs w:val="28"/>
          <w:rtl/>
          <w:lang w:bidi="fa-IR"/>
        </w:rPr>
        <w:t>:</w:t>
      </w:r>
    </w:p>
    <w:p w:rsidR="007F09B8" w:rsidRDefault="007F09B8" w:rsidP="007F09B8">
      <w:pPr>
        <w:spacing w:line="300" w:lineRule="auto"/>
        <w:ind w:firstLine="425"/>
        <w:jc w:val="lowKashida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- موضوع بعدي در خصوص تنظيم، تصويب، كنترل و نظارت بر بوجه دستگاه اجرايي مختصري اشاره شده و بعد از آن انواع نظامهاي بودجه ريزي ذكر و تشريح شده و مختصري در خصوص نحوه تخصيص اعتبارات كه دستورالعمل سازمان مديريت و برنامه ريزي كشور است آورده شد و در بحث آخر نمونه محاسبات بودجه دستگاه اجرايي تهيه و تنظيم شده است.</w:t>
      </w:r>
    </w:p>
    <w:p w:rsidR="00B6619E" w:rsidRDefault="00B6619E"/>
    <w:sectPr w:rsidR="00B6619E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2"/>
  </w:compat>
  <w:rsids>
    <w:rsidRoot w:val="007F09B8"/>
    <w:rsid w:val="0035348A"/>
    <w:rsid w:val="007F09B8"/>
    <w:rsid w:val="00B6619E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5AA0"/>
  <w15:docId w15:val="{E4B09AB3-01F2-475E-9EBF-F2255F2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9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B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2015-10-01T09:33:00Z</dcterms:created>
  <dcterms:modified xsi:type="dcterms:W3CDTF">2016-09-20T10:59:00Z</dcterms:modified>
</cp:coreProperties>
</file>