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3E" w:rsidRDefault="0026493E" w:rsidP="0026493E">
      <w:pPr>
        <w:pStyle w:val="BodyTextIndent"/>
        <w:ind w:firstLine="0"/>
        <w:jc w:val="center"/>
        <w:rPr>
          <w:rFonts w:hint="cs"/>
          <w:b/>
          <w:bCs/>
          <w:sz w:val="28"/>
          <w:szCs w:val="32"/>
          <w:rtl/>
        </w:rPr>
      </w:pPr>
      <w:r>
        <w:rPr>
          <w:b/>
          <w:bCs/>
          <w:noProof/>
          <w:sz w:val="28"/>
          <w:szCs w:val="32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68580</wp:posOffset>
            </wp:positionV>
            <wp:extent cx="826135" cy="1198880"/>
            <wp:effectExtent l="0" t="0" r="0" b="0"/>
            <wp:wrapNone/>
            <wp:docPr id="1" name="Picture 1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93E" w:rsidRDefault="0026493E" w:rsidP="0026493E">
      <w:pPr>
        <w:pStyle w:val="BodyTextIndent"/>
        <w:ind w:firstLine="0"/>
        <w:jc w:val="center"/>
        <w:rPr>
          <w:rFonts w:hint="cs"/>
          <w:b/>
          <w:bCs/>
          <w:sz w:val="28"/>
          <w:szCs w:val="32"/>
          <w:rtl/>
        </w:rPr>
      </w:pPr>
    </w:p>
    <w:p w:rsidR="0026493E" w:rsidRDefault="0026493E" w:rsidP="0026493E">
      <w:pPr>
        <w:pStyle w:val="BodyTextIndent"/>
        <w:ind w:firstLine="0"/>
        <w:jc w:val="center"/>
        <w:rPr>
          <w:rFonts w:hint="cs"/>
          <w:b/>
          <w:bCs/>
          <w:sz w:val="28"/>
          <w:szCs w:val="32"/>
          <w:rtl/>
        </w:rPr>
      </w:pPr>
    </w:p>
    <w:p w:rsidR="0026493E" w:rsidRDefault="0026493E" w:rsidP="0026493E">
      <w:pPr>
        <w:pStyle w:val="BodyTextIndent"/>
        <w:ind w:firstLine="0"/>
        <w:jc w:val="center"/>
        <w:rPr>
          <w:b/>
          <w:bCs/>
          <w:sz w:val="28"/>
          <w:szCs w:val="32"/>
          <w:rtl/>
        </w:rPr>
      </w:pPr>
      <w:r>
        <w:rPr>
          <w:b/>
          <w:bCs/>
          <w:sz w:val="28"/>
          <w:szCs w:val="32"/>
          <w:rtl/>
        </w:rPr>
        <w:t>دانشگاه آزاد اسلامي واحد كرج</w:t>
      </w:r>
    </w:p>
    <w:p w:rsidR="0026493E" w:rsidRDefault="0026493E" w:rsidP="0026493E">
      <w:pPr>
        <w:pStyle w:val="BodyTextIndent"/>
        <w:ind w:firstLine="0"/>
        <w:jc w:val="center"/>
        <w:rPr>
          <w:b/>
          <w:bCs/>
          <w:sz w:val="28"/>
          <w:szCs w:val="32"/>
          <w:rtl/>
        </w:rPr>
      </w:pPr>
      <w:r>
        <w:rPr>
          <w:b/>
          <w:bCs/>
          <w:sz w:val="28"/>
          <w:szCs w:val="32"/>
          <w:rtl/>
        </w:rPr>
        <w:t>گروه مهندسي علوم و صنايع چوب و كاغذ</w:t>
      </w:r>
    </w:p>
    <w:p w:rsidR="0026493E" w:rsidRDefault="0026493E" w:rsidP="0026493E">
      <w:pPr>
        <w:pStyle w:val="BodyTextIndent"/>
        <w:ind w:firstLine="0"/>
        <w:jc w:val="center"/>
        <w:rPr>
          <w:b/>
          <w:bCs/>
          <w:sz w:val="26"/>
          <w:szCs w:val="30"/>
          <w:rtl/>
        </w:rPr>
      </w:pPr>
    </w:p>
    <w:p w:rsidR="0026493E" w:rsidRDefault="0026493E" w:rsidP="0026493E">
      <w:pPr>
        <w:pStyle w:val="BodyTextIndent"/>
        <w:ind w:firstLine="0"/>
        <w:jc w:val="center"/>
        <w:rPr>
          <w:b/>
          <w:bCs/>
          <w:sz w:val="28"/>
          <w:szCs w:val="70"/>
          <w:rtl/>
        </w:rPr>
      </w:pPr>
    </w:p>
    <w:p w:rsidR="0026493E" w:rsidRPr="00BF7BA1" w:rsidRDefault="0026493E" w:rsidP="0026493E">
      <w:pPr>
        <w:pStyle w:val="BodyTextIndent"/>
        <w:ind w:firstLine="0"/>
        <w:jc w:val="center"/>
        <w:rPr>
          <w:b/>
          <w:bCs/>
          <w:sz w:val="44"/>
          <w:szCs w:val="44"/>
          <w:rtl/>
        </w:rPr>
      </w:pPr>
      <w:r w:rsidRPr="00BF7BA1">
        <w:rPr>
          <w:b/>
          <w:bCs/>
          <w:sz w:val="44"/>
          <w:szCs w:val="44"/>
          <w:rtl/>
        </w:rPr>
        <w:t>موضوع:</w:t>
      </w:r>
    </w:p>
    <w:p w:rsidR="0026493E" w:rsidRPr="00BF7BA1" w:rsidRDefault="0026493E" w:rsidP="0026493E">
      <w:pPr>
        <w:pStyle w:val="BodyTextIndent"/>
        <w:ind w:firstLine="0"/>
        <w:jc w:val="center"/>
        <w:rPr>
          <w:b/>
          <w:bCs/>
          <w:sz w:val="44"/>
          <w:szCs w:val="44"/>
          <w:rtl/>
        </w:rPr>
      </w:pPr>
      <w:r w:rsidRPr="00BF7BA1">
        <w:rPr>
          <w:b/>
          <w:bCs/>
          <w:sz w:val="44"/>
          <w:szCs w:val="44"/>
          <w:rtl/>
        </w:rPr>
        <w:t>آزمايشات غيرمخرب تخته خرده چوب با روشهاي فراصوتي و ارتعاشي</w:t>
      </w:r>
    </w:p>
    <w:p w:rsidR="0026493E" w:rsidRDefault="0026493E" w:rsidP="0026493E">
      <w:pPr>
        <w:pStyle w:val="BodyTextIndent"/>
        <w:ind w:firstLine="0"/>
        <w:jc w:val="center"/>
        <w:rPr>
          <w:b/>
          <w:bCs/>
          <w:sz w:val="28"/>
          <w:szCs w:val="70"/>
          <w:rtl/>
        </w:rPr>
      </w:pPr>
    </w:p>
    <w:p w:rsidR="0026493E" w:rsidRDefault="0026493E" w:rsidP="0026493E">
      <w:pPr>
        <w:pStyle w:val="BodyTextIndent"/>
        <w:ind w:firstLine="0"/>
        <w:jc w:val="center"/>
        <w:rPr>
          <w:b/>
          <w:bCs/>
          <w:sz w:val="28"/>
          <w:szCs w:val="32"/>
          <w:rtl/>
        </w:rPr>
      </w:pPr>
    </w:p>
    <w:p w:rsidR="0026493E" w:rsidRDefault="0026493E" w:rsidP="0026493E">
      <w:pPr>
        <w:pStyle w:val="BodyTextIndent"/>
        <w:ind w:firstLine="0"/>
        <w:jc w:val="center"/>
        <w:rPr>
          <w:b/>
          <w:bCs/>
          <w:sz w:val="28"/>
          <w:szCs w:val="32"/>
          <w:rtl/>
        </w:rPr>
      </w:pPr>
      <w:r>
        <w:rPr>
          <w:b/>
          <w:bCs/>
          <w:sz w:val="28"/>
          <w:szCs w:val="32"/>
          <w:rtl/>
        </w:rPr>
        <w:t>استاد راهنما:</w:t>
      </w:r>
    </w:p>
    <w:p w:rsidR="0026493E" w:rsidRDefault="0026493E" w:rsidP="0026493E">
      <w:pPr>
        <w:pStyle w:val="BodyTextIndent"/>
        <w:ind w:firstLine="0"/>
        <w:jc w:val="center"/>
        <w:rPr>
          <w:b/>
          <w:bCs/>
          <w:sz w:val="28"/>
          <w:szCs w:val="70"/>
          <w:rtl/>
        </w:rPr>
      </w:pPr>
    </w:p>
    <w:p w:rsidR="0026493E" w:rsidRDefault="0026493E" w:rsidP="0026493E">
      <w:pPr>
        <w:pStyle w:val="BodyTextIndent"/>
        <w:ind w:firstLine="0"/>
        <w:jc w:val="center"/>
        <w:rPr>
          <w:b/>
          <w:bCs/>
          <w:sz w:val="28"/>
          <w:szCs w:val="32"/>
          <w:rtl/>
        </w:rPr>
      </w:pPr>
      <w:r>
        <w:rPr>
          <w:b/>
          <w:bCs/>
          <w:sz w:val="28"/>
          <w:szCs w:val="32"/>
          <w:rtl/>
        </w:rPr>
        <w:t>تهيه و تنظيم:</w:t>
      </w:r>
    </w:p>
    <w:p w:rsidR="0026493E" w:rsidRDefault="0026493E" w:rsidP="00523C6D">
      <w:pPr>
        <w:pStyle w:val="BodyTextIndent"/>
        <w:ind w:firstLine="0"/>
        <w:rPr>
          <w:sz w:val="24"/>
          <w:rtl/>
        </w:rPr>
      </w:pPr>
      <w:bookmarkStart w:id="0" w:name="_GoBack"/>
      <w:bookmarkEnd w:id="0"/>
    </w:p>
    <w:p w:rsidR="00523C6D" w:rsidRDefault="00523C6D" w:rsidP="00523C6D">
      <w:pPr>
        <w:pStyle w:val="BodyTextIndent"/>
        <w:ind w:firstLine="0"/>
        <w:rPr>
          <w:b/>
          <w:bCs/>
          <w:sz w:val="24"/>
          <w:rtl/>
        </w:rPr>
      </w:pPr>
      <w:r w:rsidRPr="0026493E">
        <w:rPr>
          <w:rFonts w:hint="cs"/>
          <w:rtl/>
        </w:rPr>
        <w:br w:type="page"/>
      </w:r>
      <w:r>
        <w:rPr>
          <w:rFonts w:hint="cs"/>
          <w:b/>
          <w:bCs/>
          <w:sz w:val="24"/>
          <w:rtl/>
        </w:rPr>
        <w:lastRenderedPageBreak/>
        <w:t xml:space="preserve">پيشگفتار </w:t>
      </w:r>
    </w:p>
    <w:p w:rsidR="00523C6D" w:rsidRDefault="00523C6D" w:rsidP="00523C6D">
      <w:pPr>
        <w:pStyle w:val="BodyTextIndent"/>
        <w:rPr>
          <w:sz w:val="24"/>
          <w:rtl/>
        </w:rPr>
      </w:pPr>
      <w:r>
        <w:rPr>
          <w:rFonts w:hint="cs"/>
          <w:sz w:val="24"/>
          <w:rtl/>
        </w:rPr>
        <w:t>اين پايان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 xml:space="preserve">نامه نقطه عطفي مهم در برنامه مهندسي مكانيك خصوصاً در زمينه تكنولوژي چوب در دانشگاه تكنولوژي </w:t>
      </w:r>
      <w:r>
        <w:rPr>
          <w:rFonts w:hint="cs"/>
          <w:sz w:val="24"/>
          <w:cs/>
        </w:rPr>
        <w:t>‎</w:t>
      </w:r>
      <w:r>
        <w:rPr>
          <w:sz w:val="24"/>
        </w:rPr>
        <w:t>Lulea</w:t>
      </w:r>
      <w:r>
        <w:rPr>
          <w:rFonts w:hint="cs"/>
          <w:sz w:val="24"/>
          <w:rtl/>
        </w:rPr>
        <w:t xml:space="preserve"> است موضوع اين كار توسط پروفسور </w:t>
      </w:r>
      <w:r>
        <w:rPr>
          <w:rFonts w:hint="cs"/>
          <w:sz w:val="24"/>
          <w:cs/>
        </w:rPr>
        <w:t>‎</w:t>
      </w:r>
      <w:r>
        <w:rPr>
          <w:sz w:val="24"/>
        </w:rPr>
        <w:t>Holzwissenschaftenfur</w:t>
      </w:r>
      <w:r>
        <w:rPr>
          <w:rFonts w:hint="cs"/>
          <w:sz w:val="24"/>
          <w:rtl/>
        </w:rPr>
        <w:t>، استاد دانشگاه زوريخ فراهم شد و آزمايشات غيرمخرب ويژگيهاي الاستيك (ارتجاعي) و شكنندگي تخته خرده چوب با روشهاي فراصوتي و فركانس ايگن را پوشش مي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 xml:space="preserve">دهد. انتخاب اين موضوع با اين هدف انجام شد كه مرجع فارسي مناسبي براي مطالعات آينده علاقمندان فراهم شود و علاقمندان با فراغ خاطر بيشتر به مطالعه مهندسي مكانيك در زمينه تكنولوژي چوب بپردازند و باعث پيشرفت صنعت چوب و كاغذ شوند. </w:t>
      </w:r>
    </w:p>
    <w:p w:rsidR="00523C6D" w:rsidRDefault="00523C6D" w:rsidP="00523C6D">
      <w:pPr>
        <w:pStyle w:val="BodyTextIndent"/>
        <w:ind w:firstLine="0"/>
        <w:rPr>
          <w:b/>
          <w:bCs/>
          <w:sz w:val="24"/>
          <w:rtl/>
        </w:rPr>
      </w:pPr>
      <w:r>
        <w:rPr>
          <w:rFonts w:hint="cs"/>
          <w:sz w:val="24"/>
          <w:rtl/>
        </w:rPr>
        <w:br w:type="page"/>
      </w:r>
      <w:r>
        <w:rPr>
          <w:rFonts w:hint="cs"/>
          <w:b/>
          <w:bCs/>
          <w:sz w:val="24"/>
          <w:rtl/>
        </w:rPr>
        <w:lastRenderedPageBreak/>
        <w:t xml:space="preserve">چكيده </w:t>
      </w:r>
    </w:p>
    <w:p w:rsidR="00523C6D" w:rsidRDefault="00523C6D" w:rsidP="00523C6D">
      <w:pPr>
        <w:pStyle w:val="BodyTextIndent"/>
        <w:rPr>
          <w:sz w:val="24"/>
          <w:rtl/>
        </w:rPr>
      </w:pPr>
      <w:r>
        <w:rPr>
          <w:rFonts w:hint="cs"/>
          <w:sz w:val="24"/>
          <w:rtl/>
        </w:rPr>
        <w:t>در توليد  تخته خرده چوب، ويژگيهاي مختلف تخته به منظور حفظ كيفيت تخته با محدوديتهاي مورد لزوم اندازه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>گيري مي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>شوند. روشهاي غيرمخرب براي اين منظور شامل آزمايشات فراصوتي و فركانس ايگن هستند. اين روشها براي اندازه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>گيري مقاومت تخته پس از پرس، در جهت مقاصد كنترل فرآيند پيشنهاد شده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>اند. ثابت شده است كه روشهاي سرعت فراصوتي و فركانس ايگن ابزارهاي مناسبي براي انجام اين كار هستند. نتايج نشان مي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>دهند كه مدول يانگ و مقاومت خمشي را مي‏توان با اين روشها تعيين نمود. چسبندگي داخلي را فقط با دقت نسبتاً كافي مي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>توان با مدلهاي ارتجاع طبيعي تعيين كرد. استفاده از مدلهاي گوناگون اغلب مواقع مدلهاي معتبرتر و بهتري را براي مدول يانگ و مقاومت خمشي و پيش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>بيني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>هاي بهتري را براي چسبندگي داخلي ارائه مي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>دهند. اگر متغيرها ضعيف باشند مدلهاي گوناگون براي پيش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>بيني</w:t>
      </w:r>
      <w:r>
        <w:rPr>
          <w:rFonts w:hint="cs"/>
          <w:sz w:val="24"/>
          <w:cs/>
        </w:rPr>
        <w:t>‎</w:t>
      </w:r>
      <w:r>
        <w:rPr>
          <w:rFonts w:hint="cs"/>
          <w:sz w:val="24"/>
          <w:rtl/>
        </w:rPr>
        <w:t xml:space="preserve">هاي پيچيده مناسب هستند. </w:t>
      </w:r>
    </w:p>
    <w:p w:rsidR="00523C6D" w:rsidRDefault="00523C6D" w:rsidP="00523C6D">
      <w:pPr>
        <w:pStyle w:val="BodyTextIndent"/>
        <w:ind w:firstLine="0"/>
        <w:jc w:val="center"/>
        <w:rPr>
          <w:b/>
          <w:bCs/>
          <w:sz w:val="24"/>
          <w:rtl/>
        </w:rPr>
      </w:pPr>
      <w:r>
        <w:rPr>
          <w:rFonts w:hint="cs"/>
          <w:sz w:val="24"/>
          <w:rtl/>
        </w:rPr>
        <w:br w:type="page"/>
      </w:r>
      <w:r>
        <w:rPr>
          <w:rFonts w:hint="cs"/>
          <w:b/>
          <w:bCs/>
          <w:sz w:val="24"/>
          <w:rtl/>
        </w:rPr>
        <w:lastRenderedPageBreak/>
        <w:t>فهرست مطالب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903"/>
        <w:gridCol w:w="817"/>
      </w:tblGrid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عنوان </w:t>
            </w:r>
          </w:p>
        </w:tc>
        <w:tc>
          <w:tcPr>
            <w:tcW w:w="817" w:type="dxa"/>
            <w:hideMark/>
          </w:tcPr>
          <w:p w:rsidR="00523C6D" w:rsidRDefault="00523C6D">
            <w:pPr>
              <w:pStyle w:val="BodyTextIndent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صفحه </w:t>
            </w: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1-1- سابقه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2-1- هدف و منظور اين مطالعه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3-1- دامنه و تعيين حدود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4-1- تئوري و كارهاي پيشين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1-4-1- آزمايشات غيرمخرب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2-4-1- تحليل فركانس ايگن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3-4-1- روش فراصوتي موازي با صفحه تخته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4-4-1- روش فراصوتي عمود بر صفحه تخته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2- مواد و روش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1-2- مواد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2-2- طراحي آزمايش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3-2- روش زمايش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4-2- مدل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سازي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PLS</w:t>
            </w:r>
            <w:r>
              <w:rPr>
                <w:rFonts w:hint="cs"/>
                <w:sz w:val="24"/>
                <w:rtl/>
              </w:rPr>
              <w:t xml:space="preserve"> و تحليل اطلاعات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1-4-2- روش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PLS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3- روشهاي آزمايش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- تئوري و كاربردي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1-3- روش آزمايش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DIN/EN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lastRenderedPageBreak/>
              <w:t xml:space="preserve">عنوان </w:t>
            </w:r>
          </w:p>
        </w:tc>
        <w:tc>
          <w:tcPr>
            <w:tcW w:w="817" w:type="dxa"/>
            <w:hideMark/>
          </w:tcPr>
          <w:p w:rsidR="00523C6D" w:rsidRDefault="00523C6D">
            <w:pPr>
              <w:pStyle w:val="BodyTextIndent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صفحه </w:t>
            </w: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1-1-3- تعيين مدول الاستيسيته در خمش و مقاومت خمشي در استاندارد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DIN-EN310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2-1-3- تعيين مقاومت كششي عمود بر صفحه تخته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3-1-3-  تعيين رطوبت نسبي با استاندارد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DIN – EN 323</w:t>
            </w:r>
            <w:r>
              <w:rPr>
                <w:rFonts w:hint="cs"/>
                <w:sz w:val="24"/>
                <w:rtl/>
              </w:rPr>
              <w:t xml:space="preserve"> و تعيين دانسيته با استاندارد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DIN – EN 323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2-3- سرعت صوت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3-3- فركانس ايگن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4-3- ماشين آزمايش سريع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Testrob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4- نتايج و تحليل و بررسي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1-4- تعيين چسبندگي داخلي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1-1-4- تعيين با مدلهاي خطي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2-1-4- تعيين چسبندگي داخلي با مدلهاي گوناگون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2-4- تعيين مقاومت خمشي و مدول يانگ براي تخته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هاي بزرگ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1-2-4- تعيين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MOR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2-2-4- تعيين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MOE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3-4- تعيين مقاومت خمشي از روي اطلاعات نمونه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1-3-4- مدلهاي خطي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2-3-4- مدلهاي چندمتغيري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lastRenderedPageBreak/>
              <w:t xml:space="preserve">عنوان </w:t>
            </w:r>
          </w:p>
        </w:tc>
        <w:tc>
          <w:tcPr>
            <w:tcW w:w="817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صفحه </w:t>
            </w: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3-3-4- مدلهاي براي تعيين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MOR</w:t>
            </w:r>
            <w:r>
              <w:rPr>
                <w:rFonts w:hint="cs"/>
                <w:sz w:val="24"/>
                <w:rtl/>
              </w:rPr>
              <w:t xml:space="preserve"> تهيه شده از مقادير متوسط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4-4- تعيين مدول يانگ از روي اطلاعات نمونه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1-4-4- كليه نمونه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ها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2-4-4- مقادير متوسط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3-4-4- تفاوتهاي روشهاي استاتيك و روشهاي ديناميك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5-4- تأثير متعادلسازي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6-4- مقادير اندازه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گيري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Testrob</w:t>
            </w:r>
            <w:r>
              <w:rPr>
                <w:rFonts w:hint="cs"/>
                <w:sz w:val="24"/>
                <w:rtl/>
              </w:rPr>
              <w:t xml:space="preserve">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5- نتايج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1-5- كارآئي مدلها براي كنترل فرآيند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1-1-5- سرعت اولتراسونيك براي تعيين چسبندگي داخلي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2-1-5- سرعت اولتراسونيك براي تعيين ‌‎</w:t>
            </w:r>
            <w:r>
              <w:rPr>
                <w:sz w:val="24"/>
              </w:rPr>
              <w:t>MOR</w:t>
            </w:r>
            <w:r>
              <w:rPr>
                <w:rFonts w:hint="cs"/>
                <w:sz w:val="24"/>
                <w:rtl/>
              </w:rPr>
              <w:t xml:space="preserve"> و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MOE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3-1-5- اندازه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گيري با فركانس خاص براي تعيين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MOR</w:t>
            </w:r>
            <w:r>
              <w:rPr>
                <w:rFonts w:hint="cs"/>
                <w:sz w:val="24"/>
                <w:rtl/>
              </w:rPr>
              <w:t xml:space="preserve"> و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MOE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4-1-5- مدلهاي چند سنسوري براي تعيين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MOR</w:t>
            </w:r>
            <w:r>
              <w:rPr>
                <w:rFonts w:hint="cs"/>
                <w:sz w:val="24"/>
                <w:rtl/>
              </w:rPr>
              <w:t xml:space="preserve"> و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MOE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5-1-5- كاربرد روشهاي مذكور براي تخته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هاي بزرگ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6-1-5- اندازه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گيري با 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sz w:val="24"/>
              </w:rPr>
              <w:t>Testrob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2-5- تأثير و شدت شرايط سازي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3-5- سنجش دما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6- كار ثانويه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spacing w:line="640" w:lineRule="atLeas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7- مقالات و منابع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spacing w:line="640" w:lineRule="atLeas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عنوان ضميمه</w:t>
            </w:r>
            <w:r>
              <w:rPr>
                <w:rFonts w:hint="cs"/>
                <w:b/>
                <w:bCs/>
                <w:sz w:val="24"/>
                <w:cs/>
              </w:rPr>
              <w:t>‎</w:t>
            </w:r>
            <w:r>
              <w:rPr>
                <w:rFonts w:hint="cs"/>
                <w:b/>
                <w:bCs/>
                <w:sz w:val="24"/>
                <w:rtl/>
              </w:rPr>
              <w:t xml:space="preserve">ها </w:t>
            </w:r>
          </w:p>
        </w:tc>
        <w:tc>
          <w:tcPr>
            <w:tcW w:w="817" w:type="dxa"/>
            <w:hideMark/>
          </w:tcPr>
          <w:p w:rsidR="00523C6D" w:rsidRDefault="00523C6D">
            <w:pPr>
              <w:pStyle w:val="BodyTextIndent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صفحه </w:t>
            </w: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lastRenderedPageBreak/>
              <w:t>1- طرح آزمايش براي تخته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هاي مختلف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2- نتايجي از برگشت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هاي خطي (روابط خطي)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3- نتايجي از مدلهاي گوناگون (چندمتغيري)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4- تأثير دما روي سرعت صوت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5- واژه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نامه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>6- محلهاي اندازه</w:t>
            </w:r>
            <w:r>
              <w:rPr>
                <w:rFonts w:hint="cs"/>
                <w:sz w:val="24"/>
                <w:cs/>
              </w:rPr>
              <w:t>‎</w:t>
            </w:r>
            <w:r>
              <w:rPr>
                <w:rFonts w:hint="cs"/>
                <w:sz w:val="24"/>
                <w:rtl/>
              </w:rPr>
              <w:t xml:space="preserve">گيري در آزمايشات مختلف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  <w:tr w:rsidR="00523C6D" w:rsidTr="00523C6D">
        <w:tc>
          <w:tcPr>
            <w:tcW w:w="7903" w:type="dxa"/>
            <w:hideMark/>
          </w:tcPr>
          <w:p w:rsidR="00523C6D" w:rsidRDefault="00523C6D">
            <w:pPr>
              <w:pStyle w:val="BodyTextIndent"/>
              <w:ind w:firstLine="0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7- برنامه آزمايش </w:t>
            </w:r>
          </w:p>
        </w:tc>
        <w:tc>
          <w:tcPr>
            <w:tcW w:w="817" w:type="dxa"/>
          </w:tcPr>
          <w:p w:rsidR="00523C6D" w:rsidRDefault="00523C6D">
            <w:pPr>
              <w:pStyle w:val="BodyTextIndent"/>
              <w:ind w:firstLine="0"/>
              <w:jc w:val="center"/>
              <w:rPr>
                <w:sz w:val="24"/>
              </w:rPr>
            </w:pPr>
          </w:p>
        </w:tc>
      </w:tr>
    </w:tbl>
    <w:p w:rsidR="00492C3C" w:rsidRDefault="00492C3C"/>
    <w:sectPr w:rsidR="00492C3C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3C6D"/>
    <w:rsid w:val="0026493E"/>
    <w:rsid w:val="00492C3C"/>
    <w:rsid w:val="00523C6D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C0A1"/>
  <w15:docId w15:val="{832A9869-4587-44CD-A2B3-95F225E4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3C6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523C6D"/>
    <w:pPr>
      <w:spacing w:line="740" w:lineRule="atLeast"/>
      <w:ind w:firstLine="720"/>
      <w:jc w:val="lowKashida"/>
    </w:pPr>
    <w:rPr>
      <w:rFonts w:cs="Nazani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523C6D"/>
    <w:rPr>
      <w:rFonts w:ascii="Times New Roman" w:eastAsia="Times New Roman" w:hAnsi="Times New Roman" w:cs="Nazanin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2015-10-15T14:13:00Z</dcterms:created>
  <dcterms:modified xsi:type="dcterms:W3CDTF">2016-09-19T11:47:00Z</dcterms:modified>
</cp:coreProperties>
</file>